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47E4B" w14:textId="77777777" w:rsidR="00204488" w:rsidRDefault="00E63DC6" w:rsidP="00E63DC6">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Pr>
          <w:rFonts w:ascii="맑은 고딕" w:eastAsia="맑은 고딕" w:hAnsi="맑은 고딕" w:cs="Arial" w:hint="eastAsia"/>
          <w:b/>
          <w:sz w:val="24"/>
          <w:lang w:eastAsia="ko-KR"/>
        </w:rPr>
        <w:t>3GPP TSG RAN WG1 #113</w:t>
      </w:r>
      <w:r>
        <w:rPr>
          <w:rFonts w:ascii="맑은 고딕" w:eastAsia="맑은 고딕" w:hAnsi="맑은 고딕" w:cs="Arial" w:hint="eastAsia"/>
          <w:b/>
          <w:sz w:val="24"/>
          <w:lang w:eastAsia="ko-KR"/>
        </w:rPr>
        <w:tab/>
      </w:r>
      <w:proofErr w:type="gramStart"/>
      <w:r>
        <w:rPr>
          <w:rFonts w:ascii="맑은 고딕" w:eastAsia="맑은 고딕" w:hAnsi="맑은 고딕" w:cs="Arial" w:hint="eastAsia"/>
          <w:b/>
          <w:sz w:val="24"/>
          <w:lang w:eastAsia="ko-KR"/>
        </w:rPr>
        <w:tab/>
        <w:t xml:space="preserve">  </w:t>
      </w:r>
      <w:r>
        <w:rPr>
          <w:rFonts w:ascii="맑은 고딕" w:eastAsia="맑은 고딕" w:hAnsi="맑은 고딕" w:cs="Arial" w:hint="eastAsia"/>
          <w:b/>
          <w:sz w:val="24"/>
          <w:lang w:eastAsia="ko-KR"/>
        </w:rPr>
        <w:tab/>
      </w:r>
      <w:proofErr w:type="gramEnd"/>
      <w:r>
        <w:rPr>
          <w:rFonts w:ascii="맑은 고딕" w:eastAsia="맑은 고딕" w:hAnsi="맑은 고딕" w:cs="Arial" w:hint="eastAsia"/>
          <w:b/>
          <w:sz w:val="24"/>
          <w:lang w:eastAsia="ko-KR"/>
        </w:rPr>
        <w:tab/>
      </w:r>
      <w:r>
        <w:rPr>
          <w:rFonts w:ascii="맑은 고딕" w:eastAsia="맑은 고딕" w:hAnsi="맑은 고딕" w:cs="Arial" w:hint="eastAsia"/>
          <w:b/>
          <w:sz w:val="24"/>
          <w:lang w:eastAsia="ko-KR"/>
        </w:rPr>
        <w:tab/>
        <w:t xml:space="preserve">   </w:t>
      </w:r>
      <w:r>
        <w:rPr>
          <w:rFonts w:ascii="맑은 고딕" w:eastAsia="맑은 고딕" w:hAnsi="맑은 고딕" w:cs="Arial" w:hint="eastAsia"/>
          <w:b/>
          <w:sz w:val="24"/>
          <w:lang w:eastAsia="ko-KR"/>
        </w:rPr>
        <w:tab/>
        <w:t xml:space="preserve">   </w:t>
      </w:r>
      <w:r w:rsidR="00204488" w:rsidRPr="00204488">
        <w:rPr>
          <w:rFonts w:ascii="맑은 고딕" w:eastAsia="맑은 고딕" w:hAnsi="맑은 고딕" w:cs="Arial"/>
          <w:b/>
          <w:sz w:val="24"/>
          <w:lang w:eastAsia="ko-KR"/>
        </w:rPr>
        <w:t>R1-2305803</w:t>
      </w:r>
      <w:r w:rsidR="00204488" w:rsidRPr="00204488">
        <w:rPr>
          <w:rFonts w:ascii="맑은 고딕" w:eastAsia="맑은 고딕" w:hAnsi="맑은 고딕" w:cs="Arial" w:hint="eastAsia"/>
          <w:b/>
          <w:sz w:val="24"/>
          <w:lang w:eastAsia="ko-KR"/>
        </w:rPr>
        <w:t xml:space="preserve"> </w:t>
      </w:r>
    </w:p>
    <w:p w14:paraId="1703DD4E" w14:textId="2C9A6795" w:rsidR="00E63DC6" w:rsidRDefault="00E63DC6" w:rsidP="00E63DC6">
      <w:pPr>
        <w:tabs>
          <w:tab w:val="left" w:pos="1980"/>
        </w:tabs>
        <w:spacing w:line="192" w:lineRule="auto"/>
        <w:ind w:left="1841" w:hangingChars="767" w:hanging="1841"/>
        <w:rPr>
          <w:rFonts w:ascii="맑은 고딕" w:eastAsia="맑은 고딕" w:hAnsi="맑은 고딕" w:cs="Arial"/>
          <w:b/>
          <w:sz w:val="24"/>
          <w:lang w:eastAsia="ko-KR"/>
        </w:rPr>
      </w:pPr>
      <w:r>
        <w:rPr>
          <w:rFonts w:ascii="맑은 고딕" w:eastAsia="맑은 고딕" w:hAnsi="맑은 고딕" w:cs="Arial" w:hint="eastAsia"/>
          <w:b/>
          <w:sz w:val="24"/>
          <w:lang w:eastAsia="ko-KR"/>
        </w:rPr>
        <w:t>Incheon, Korea, May 22nd – May 26th, 2023</w:t>
      </w:r>
    </w:p>
    <w:p w14:paraId="4B849D3F" w14:textId="77777777" w:rsidR="00412479" w:rsidRPr="00E63DC6" w:rsidRDefault="00412479"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738833FB"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1D4202" w:rsidRPr="001D4202">
        <w:rPr>
          <w:rFonts w:ascii="맑은 고딕" w:eastAsia="맑은 고딕" w:hAnsi="맑은 고딕" w:cs="Arial"/>
          <w:b/>
          <w:sz w:val="24"/>
          <w:lang w:val="pt-BR"/>
        </w:rPr>
        <w:t>Dynamic switching between DFT-S-OFDM and CP-OFDM</w:t>
      </w:r>
    </w:p>
    <w:p w14:paraId="1570E748" w14:textId="69D6390C"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1D4202" w:rsidRPr="001D4202">
        <w:rPr>
          <w:rFonts w:ascii="맑은 고딕" w:eastAsia="맑은 고딕" w:hAnsi="맑은 고딕" w:cs="Arial"/>
          <w:b/>
          <w:sz w:val="24"/>
          <w:lang w:val="pt-BR"/>
        </w:rPr>
        <w:t>9.</w:t>
      </w:r>
      <w:r w:rsidR="006E4DD1">
        <w:rPr>
          <w:rFonts w:ascii="맑은 고딕" w:eastAsia="맑은 고딕" w:hAnsi="맑은 고딕" w:cs="Arial"/>
          <w:b/>
          <w:sz w:val="24"/>
          <w:lang w:val="pt-BR"/>
        </w:rPr>
        <w:t>12</w:t>
      </w:r>
      <w:r w:rsidR="001D4202" w:rsidRPr="001D4202">
        <w:rPr>
          <w:rFonts w:ascii="맑은 고딕" w:eastAsia="맑은 고딕" w:hAnsi="맑은 고딕" w:cs="Arial"/>
          <w:b/>
          <w:sz w:val="24"/>
          <w:lang w:val="pt-BR"/>
        </w:rPr>
        <w:t>.3</w:t>
      </w:r>
      <w:r w:rsidR="00BE5818" w:rsidRPr="00BE5818">
        <w:rPr>
          <w:rFonts w:ascii="맑은 고딕" w:eastAsia="맑은 고딕" w:hAnsi="맑은 고딕" w:cs="Arial"/>
          <w:b/>
          <w:sz w:val="24"/>
          <w:lang w:val="pt-BR"/>
        </w:rPr>
        <w:tab/>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7C532205" w:rsidR="00040981" w:rsidRDefault="00A26EE4" w:rsidP="007B50FB">
      <w:pPr>
        <w:widowControl w:val="0"/>
        <w:autoSpaceDE w:val="0"/>
        <w:autoSpaceDN w:val="0"/>
        <w:spacing w:after="120" w:line="276" w:lineRule="auto"/>
        <w:ind w:firstLineChars="50" w:firstLine="100"/>
        <w:jc w:val="both"/>
        <w:rPr>
          <w:color w:val="000000" w:themeColor="text1"/>
          <w:lang w:eastAsia="ko-KR"/>
        </w:rPr>
      </w:pPr>
      <w:bookmarkStart w:id="8" w:name="OLE_LINK11"/>
      <w:bookmarkStart w:id="9" w:name="OLE_LINK12"/>
      <w:bookmarkEnd w:id="3"/>
      <w:bookmarkEnd w:id="4"/>
      <w:r>
        <w:rPr>
          <w:color w:val="000000" w:themeColor="text1"/>
          <w:lang w:eastAsia="ko-KR"/>
        </w:rPr>
        <w:t xml:space="preserve">The previous meeting had a good </w:t>
      </w:r>
      <w:r w:rsidR="007B50FB">
        <w:rPr>
          <w:color w:val="000000" w:themeColor="text1"/>
          <w:lang w:eastAsia="ko-KR"/>
        </w:rPr>
        <w:t>agreement for this agenda</w:t>
      </w:r>
      <w:r w:rsidR="00A50314">
        <w:rPr>
          <w:color w:val="000000" w:themeColor="text1"/>
          <w:lang w:eastAsia="ko-KR"/>
        </w:rPr>
        <w:t xml:space="preserve">, and the moderator shared an excellent summary in </w:t>
      </w:r>
      <w:r w:rsidR="00AB14C8" w:rsidRPr="00AB14C8">
        <w:rPr>
          <w:color w:val="000000" w:themeColor="text1"/>
          <w:lang w:eastAsia="ko-KR"/>
        </w:rPr>
        <w:t>R1-230</w:t>
      </w:r>
      <w:r w:rsidR="00080AEA">
        <w:rPr>
          <w:color w:val="000000" w:themeColor="text1"/>
          <w:lang w:eastAsia="ko-KR"/>
        </w:rPr>
        <w:t>4</w:t>
      </w:r>
      <w:r w:rsidR="00AB14C8" w:rsidRPr="00AB14C8">
        <w:rPr>
          <w:color w:val="000000" w:themeColor="text1"/>
          <w:lang w:eastAsia="ko-KR"/>
        </w:rPr>
        <w:t>222</w:t>
      </w:r>
      <w:r w:rsidR="007B50FB">
        <w:rPr>
          <w:color w:val="000000" w:themeColor="text1"/>
          <w:lang w:eastAsia="ko-KR"/>
        </w:rPr>
        <w:t>. This contribution describes our vies for remaining details for waveform indications.</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AB77644" w14:textId="5ACF66DC" w:rsidR="00040981" w:rsidRPr="00040981" w:rsidRDefault="00040981" w:rsidP="00B351DB">
            <w:pPr>
              <w:numPr>
                <w:ilvl w:val="0"/>
                <w:numId w:val="2"/>
              </w:numPr>
              <w:spacing w:before="120" w:after="120" w:line="276" w:lineRule="auto"/>
              <w:ind w:hanging="357"/>
              <w:jc w:val="both"/>
              <w:rPr>
                <w:rFonts w:eastAsia="SimSun"/>
                <w:lang w:val="en-US" w:eastAsia="zh-CN"/>
              </w:rPr>
            </w:pP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34CFC6D9" w14:textId="25EDE238" w:rsidR="00952435" w:rsidRDefault="009659E9" w:rsidP="002E332B">
      <w:pPr>
        <w:pStyle w:val="1"/>
        <w:numPr>
          <w:ilvl w:val="0"/>
          <w:numId w:val="1"/>
        </w:numPr>
        <w:rPr>
          <w:lang w:eastAsia="ko-KR"/>
        </w:rPr>
      </w:pPr>
      <w:r w:rsidRPr="008678BD">
        <w:rPr>
          <w:lang w:eastAsia="ko-KR"/>
        </w:rPr>
        <w:t>Discussion</w:t>
      </w:r>
      <w:bookmarkEnd w:id="8"/>
      <w:bookmarkEnd w:id="9"/>
    </w:p>
    <w:p w14:paraId="5D96D476" w14:textId="43CAC091" w:rsidR="00080AEA" w:rsidRPr="00080AEA" w:rsidRDefault="00080AEA" w:rsidP="00080AEA">
      <w:pPr>
        <w:pStyle w:val="H2"/>
        <w:numPr>
          <w:ilvl w:val="2"/>
          <w:numId w:val="1"/>
        </w:numPr>
        <w:ind w:leftChars="0"/>
        <w:rPr>
          <w:rFonts w:eastAsia="SimSun"/>
          <w:lang w:eastAsia="zh-CN"/>
        </w:rPr>
      </w:pPr>
      <w:bookmarkStart w:id="10" w:name="_Ref111058652"/>
      <w:r>
        <w:t>H</w:t>
      </w:r>
      <w:r w:rsidRPr="004B6EA4">
        <w:t>andling of FDRA type/DM</w:t>
      </w:r>
      <w:r w:rsidR="001635CB">
        <w:t>-</w:t>
      </w:r>
      <w:r w:rsidRPr="004B6EA4">
        <w:t>RS type</w:t>
      </w:r>
    </w:p>
    <w:tbl>
      <w:tblPr>
        <w:tblStyle w:val="a6"/>
        <w:tblW w:w="0" w:type="auto"/>
        <w:tblInd w:w="113" w:type="dxa"/>
        <w:tblLook w:val="04A0" w:firstRow="1" w:lastRow="0" w:firstColumn="1" w:lastColumn="0" w:noHBand="0" w:noVBand="1"/>
      </w:tblPr>
      <w:tblGrid>
        <w:gridCol w:w="8903"/>
      </w:tblGrid>
      <w:tr w:rsidR="00080AEA" w14:paraId="48B75E54" w14:textId="77777777" w:rsidTr="00080AEA">
        <w:tc>
          <w:tcPr>
            <w:tcW w:w="8903" w:type="dxa"/>
          </w:tcPr>
          <w:p w14:paraId="7AFE60EC" w14:textId="70447F0E" w:rsidR="00080AEA" w:rsidRPr="00ED46E2" w:rsidRDefault="00080AEA" w:rsidP="00080AEA">
            <w:pPr>
              <w:rPr>
                <w:rFonts w:ascii="Times New Roman" w:eastAsia="DengXian" w:hAnsi="Times New Roman"/>
                <w:szCs w:val="20"/>
                <w:u w:val="single"/>
                <w:lang w:eastAsia="zh-CN"/>
              </w:rPr>
            </w:pPr>
            <w:r w:rsidRPr="00643256">
              <w:rPr>
                <w:highlight w:val="green"/>
              </w:rPr>
              <w:t>Agreement</w:t>
            </w:r>
            <w:r>
              <w:rPr>
                <w:rFonts w:ascii="Times New Roman" w:eastAsia="DengXian" w:hAnsi="Times New Roman"/>
                <w:szCs w:val="20"/>
                <w:lang w:eastAsia="zh-CN"/>
              </w:rPr>
              <w:t xml:space="preserve"> - </w:t>
            </w:r>
            <w:r w:rsidRPr="00080AEA">
              <w:rPr>
                <w:rFonts w:ascii="Times New Roman" w:eastAsia="DengXian" w:hAnsi="Times New Roman"/>
                <w:szCs w:val="20"/>
                <w:lang w:eastAsia="zh-CN"/>
              </w:rPr>
              <w:t>112bis</w:t>
            </w:r>
          </w:p>
          <w:p w14:paraId="12A01B66" w14:textId="77777777" w:rsidR="00080AEA" w:rsidRPr="00643256" w:rsidRDefault="00080AEA" w:rsidP="002E4A3B">
            <w:r w:rsidRPr="00643256">
              <w:t xml:space="preserve">For PUSCH scheduled by DCI format 0_1/0_2 with dynamic waveform switching indication field configured, and </w:t>
            </w:r>
            <w:r w:rsidRPr="00643256">
              <w:rPr>
                <w:i/>
                <w:iCs/>
              </w:rPr>
              <w:t>useInterlacePUCCH-PUSCH</w:t>
            </w:r>
            <w:r w:rsidRPr="00643256">
              <w:t xml:space="preserve"> is not configured, downselect between following options:</w:t>
            </w:r>
          </w:p>
          <w:p w14:paraId="2347C217" w14:textId="77777777" w:rsidR="00080AEA" w:rsidRPr="00643256" w:rsidRDefault="00080AEA" w:rsidP="002E4A3B">
            <w:pPr>
              <w:pStyle w:val="a5"/>
              <w:numPr>
                <w:ilvl w:val="0"/>
                <w:numId w:val="18"/>
              </w:numPr>
              <w:overflowPunct w:val="0"/>
              <w:autoSpaceDE w:val="0"/>
              <w:autoSpaceDN w:val="0"/>
              <w:adjustRightInd w:val="0"/>
              <w:spacing w:after="180"/>
              <w:ind w:leftChars="0"/>
              <w:contextualSpacing/>
              <w:textAlignment w:val="baseline"/>
            </w:pPr>
            <w:r w:rsidRPr="00643256">
              <w:t>Option 1 (configuration restriction with error case handling):</w:t>
            </w:r>
          </w:p>
          <w:p w14:paraId="12EDC260"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rPr>
                <w:i/>
                <w:iCs/>
              </w:rPr>
            </w:pPr>
            <w:r w:rsidRPr="00643256">
              <w:t xml:space="preserve">UE does not expect </w:t>
            </w:r>
            <w:r w:rsidRPr="00643256">
              <w:rPr>
                <w:i/>
                <w:iCs/>
              </w:rPr>
              <w:t>resourceAllocation</w:t>
            </w:r>
            <w:r w:rsidRPr="00643256">
              <w:t xml:space="preserve"> set to </w:t>
            </w:r>
            <w:r w:rsidRPr="00643256">
              <w:rPr>
                <w:i/>
                <w:iCs/>
              </w:rPr>
              <w:t>resourceAllocationType0</w:t>
            </w:r>
            <w:r w:rsidRPr="00643256">
              <w:t>.</w:t>
            </w:r>
          </w:p>
          <w:p w14:paraId="4646A46E"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rPr>
                <w:i/>
                <w:iCs/>
              </w:rPr>
            </w:pPr>
            <w:r w:rsidRPr="00643256">
              <w:t xml:space="preserve">If DFT-S-OFDM is indicated and </w:t>
            </w:r>
            <w:r w:rsidRPr="00643256">
              <w:rPr>
                <w:i/>
                <w:iCs/>
              </w:rPr>
              <w:t>resourceAllocation</w:t>
            </w:r>
            <w:r w:rsidRPr="00643256">
              <w:t xml:space="preserve"> set to </w:t>
            </w:r>
            <w:r w:rsidRPr="00643256">
              <w:rPr>
                <w:i/>
                <w:iCs/>
              </w:rPr>
              <w:t>dynamicSwitch</w:t>
            </w:r>
            <w:r w:rsidRPr="00643256">
              <w:t xml:space="preserve">, UE does not expect MSB of FDRA field set to 0. </w:t>
            </w:r>
          </w:p>
          <w:p w14:paraId="1F1EFBB6" w14:textId="77777777" w:rsidR="00080AEA" w:rsidRPr="00643256" w:rsidRDefault="00080AEA" w:rsidP="002E4A3B">
            <w:pPr>
              <w:pStyle w:val="a5"/>
              <w:numPr>
                <w:ilvl w:val="0"/>
                <w:numId w:val="18"/>
              </w:numPr>
              <w:overflowPunct w:val="0"/>
              <w:autoSpaceDE w:val="0"/>
              <w:autoSpaceDN w:val="0"/>
              <w:adjustRightInd w:val="0"/>
              <w:spacing w:after="180"/>
              <w:ind w:leftChars="0"/>
              <w:contextualSpacing/>
              <w:textAlignment w:val="baseline"/>
            </w:pPr>
            <w:r w:rsidRPr="00643256">
              <w:t xml:space="preserve">Option 2 (UE only uses </w:t>
            </w:r>
            <w:r w:rsidRPr="00643256">
              <w:rPr>
                <w:i/>
                <w:iCs/>
              </w:rPr>
              <w:t>resourceAllocation</w:t>
            </w:r>
            <w:r w:rsidRPr="00643256">
              <w:t xml:space="preserve"> if CP-OFDM is indicated):</w:t>
            </w:r>
          </w:p>
          <w:p w14:paraId="02AB303D"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rPr>
                <w:i/>
                <w:iCs/>
              </w:rPr>
            </w:pPr>
            <w:r w:rsidRPr="00643256">
              <w:t>If DFT-S-OFDM is indicated, UE applies type 1 resource allocation.</w:t>
            </w:r>
          </w:p>
          <w:p w14:paraId="7C6653B2"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pPr>
            <w:r w:rsidRPr="00643256">
              <w:t xml:space="preserve">If CP-OFDM is indicated, UE applies resource allocation according to </w:t>
            </w:r>
            <w:r w:rsidRPr="00643256">
              <w:rPr>
                <w:i/>
                <w:iCs/>
              </w:rPr>
              <w:t>resourceAllocation</w:t>
            </w:r>
            <w:r w:rsidRPr="00643256">
              <w:t xml:space="preserve"> IE.</w:t>
            </w:r>
          </w:p>
          <w:p w14:paraId="7CA5D510"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pPr>
            <w:r w:rsidRPr="00643256">
              <w:t xml:space="preserve">Size of FDRA field is aligned between size for type 1 resource allocation and size according to </w:t>
            </w:r>
            <w:r w:rsidRPr="00643256">
              <w:rPr>
                <w:i/>
                <w:iCs/>
              </w:rPr>
              <w:t>resourceAllocation</w:t>
            </w:r>
            <w:r w:rsidRPr="00643256">
              <w:t xml:space="preserve"> IE.</w:t>
            </w:r>
          </w:p>
          <w:p w14:paraId="4ED5CBF5" w14:textId="27C161E1" w:rsidR="00080AEA" w:rsidRPr="00ED46E2" w:rsidRDefault="00080AEA" w:rsidP="00080AEA">
            <w:pPr>
              <w:rPr>
                <w:rFonts w:ascii="Times New Roman" w:eastAsia="DengXian" w:hAnsi="Times New Roman"/>
                <w:szCs w:val="20"/>
                <w:u w:val="single"/>
                <w:lang w:eastAsia="zh-CN"/>
              </w:rPr>
            </w:pPr>
            <w:r w:rsidRPr="00643256">
              <w:rPr>
                <w:highlight w:val="green"/>
              </w:rPr>
              <w:t>Agreement</w:t>
            </w:r>
            <w:r>
              <w:rPr>
                <w:rFonts w:ascii="Times New Roman" w:eastAsia="DengXian" w:hAnsi="Times New Roman"/>
                <w:szCs w:val="20"/>
                <w:lang w:eastAsia="zh-CN"/>
              </w:rPr>
              <w:t xml:space="preserve"> - </w:t>
            </w:r>
            <w:r w:rsidRPr="00080AEA">
              <w:rPr>
                <w:rFonts w:ascii="Times New Roman" w:eastAsia="DengXian" w:hAnsi="Times New Roman"/>
                <w:szCs w:val="20"/>
                <w:lang w:eastAsia="zh-CN"/>
              </w:rPr>
              <w:t>112bis</w:t>
            </w:r>
          </w:p>
          <w:p w14:paraId="71EDE2CC" w14:textId="77777777" w:rsidR="00080AEA" w:rsidRPr="00643256" w:rsidRDefault="00080AEA" w:rsidP="002E4A3B">
            <w:r w:rsidRPr="00643256">
              <w:t>For PUSCH scheduled by DCI format 0_1/0_2 with dynamic waveform switching indication field configured, downselect between following options:</w:t>
            </w:r>
          </w:p>
          <w:p w14:paraId="4E22AE7C" w14:textId="77777777" w:rsidR="00080AEA" w:rsidRPr="00643256" w:rsidRDefault="00080AEA" w:rsidP="002E4A3B">
            <w:pPr>
              <w:pStyle w:val="a5"/>
              <w:numPr>
                <w:ilvl w:val="0"/>
                <w:numId w:val="19"/>
              </w:numPr>
              <w:overflowPunct w:val="0"/>
              <w:autoSpaceDE w:val="0"/>
              <w:autoSpaceDN w:val="0"/>
              <w:adjustRightInd w:val="0"/>
              <w:spacing w:after="180"/>
              <w:ind w:leftChars="0"/>
              <w:contextualSpacing/>
              <w:textAlignment w:val="baseline"/>
            </w:pPr>
            <w:r w:rsidRPr="00643256">
              <w:t>Option 1 (configuration restriction with error case handling):</w:t>
            </w:r>
          </w:p>
          <w:p w14:paraId="238CB286" w14:textId="77777777" w:rsidR="00080AEA" w:rsidRPr="00643256" w:rsidRDefault="00080AEA" w:rsidP="002E4A3B">
            <w:pPr>
              <w:pStyle w:val="a5"/>
              <w:numPr>
                <w:ilvl w:val="1"/>
                <w:numId w:val="19"/>
              </w:numPr>
              <w:overflowPunct w:val="0"/>
              <w:autoSpaceDE w:val="0"/>
              <w:autoSpaceDN w:val="0"/>
              <w:adjustRightInd w:val="0"/>
              <w:spacing w:after="180"/>
              <w:ind w:leftChars="0"/>
              <w:contextualSpacing/>
              <w:textAlignment w:val="baseline"/>
              <w:rPr>
                <w:i/>
                <w:iCs/>
              </w:rPr>
            </w:pPr>
            <w:r w:rsidRPr="00643256">
              <w:t xml:space="preserve">UE does not expect </w:t>
            </w:r>
            <w:r w:rsidRPr="00643256">
              <w:rPr>
                <w:i/>
                <w:iCs/>
                <w:lang w:eastAsia="ko-KR"/>
              </w:rPr>
              <w:t>dmrs-Type</w:t>
            </w:r>
            <w:r w:rsidRPr="00643256">
              <w:rPr>
                <w:lang w:eastAsia="ko-KR"/>
              </w:rPr>
              <w:t xml:space="preserve"> to be set to </w:t>
            </w:r>
            <w:r w:rsidRPr="00643256">
              <w:rPr>
                <w:i/>
                <w:iCs/>
                <w:lang w:eastAsia="ko-KR"/>
              </w:rPr>
              <w:t>type2</w:t>
            </w:r>
            <w:r w:rsidRPr="00643256">
              <w:rPr>
                <w:lang w:eastAsia="ko-KR"/>
              </w:rPr>
              <w:t>.</w:t>
            </w:r>
          </w:p>
          <w:p w14:paraId="67A99299" w14:textId="77777777" w:rsidR="00080AEA" w:rsidRPr="00643256" w:rsidRDefault="00080AEA" w:rsidP="002E4A3B">
            <w:pPr>
              <w:pStyle w:val="a5"/>
              <w:numPr>
                <w:ilvl w:val="0"/>
                <w:numId w:val="19"/>
              </w:numPr>
              <w:overflowPunct w:val="0"/>
              <w:autoSpaceDE w:val="0"/>
              <w:autoSpaceDN w:val="0"/>
              <w:adjustRightInd w:val="0"/>
              <w:spacing w:after="180"/>
              <w:ind w:leftChars="0"/>
              <w:contextualSpacing/>
              <w:textAlignment w:val="baseline"/>
            </w:pPr>
            <w:r w:rsidRPr="00643256">
              <w:t xml:space="preserve">Option 2 (UE only uses </w:t>
            </w:r>
            <w:r w:rsidRPr="00643256">
              <w:rPr>
                <w:i/>
                <w:iCs/>
              </w:rPr>
              <w:t>dmrs-Type</w:t>
            </w:r>
            <w:r w:rsidRPr="00643256">
              <w:t xml:space="preserve"> if CP-OFDM is indicated):</w:t>
            </w:r>
          </w:p>
          <w:p w14:paraId="6F69E234" w14:textId="77777777" w:rsidR="00080AEA" w:rsidRPr="00643256" w:rsidRDefault="00080AEA" w:rsidP="002E4A3B">
            <w:pPr>
              <w:pStyle w:val="a5"/>
              <w:numPr>
                <w:ilvl w:val="1"/>
                <w:numId w:val="19"/>
              </w:numPr>
              <w:overflowPunct w:val="0"/>
              <w:autoSpaceDE w:val="0"/>
              <w:autoSpaceDN w:val="0"/>
              <w:adjustRightInd w:val="0"/>
              <w:spacing w:after="180"/>
              <w:ind w:leftChars="0"/>
              <w:contextualSpacing/>
              <w:textAlignment w:val="baseline"/>
            </w:pPr>
            <w:r w:rsidRPr="00643256">
              <w:t>If DFT-S-OFDM is indicated, UE applies DMRS type 1.</w:t>
            </w:r>
          </w:p>
          <w:p w14:paraId="4C17D0F0" w14:textId="77777777" w:rsidR="00080AEA" w:rsidRPr="00960BCA" w:rsidRDefault="00080AEA" w:rsidP="002E4A3B">
            <w:pPr>
              <w:pStyle w:val="a5"/>
              <w:numPr>
                <w:ilvl w:val="1"/>
                <w:numId w:val="19"/>
              </w:numPr>
              <w:overflowPunct w:val="0"/>
              <w:autoSpaceDE w:val="0"/>
              <w:autoSpaceDN w:val="0"/>
              <w:adjustRightInd w:val="0"/>
              <w:spacing w:after="180"/>
              <w:ind w:leftChars="0"/>
              <w:contextualSpacing/>
              <w:textAlignment w:val="baseline"/>
            </w:pPr>
            <w:r w:rsidRPr="00643256">
              <w:t xml:space="preserve">If CP-OFDM is indicated, UE applies DMRS type according to </w:t>
            </w:r>
            <w:r w:rsidRPr="00643256">
              <w:rPr>
                <w:i/>
                <w:iCs/>
                <w:lang w:eastAsia="ko-KR"/>
              </w:rPr>
              <w:t>dmrs-Type</w:t>
            </w:r>
            <w:r w:rsidRPr="00643256">
              <w:rPr>
                <w:lang w:eastAsia="ko-KR"/>
              </w:rPr>
              <w:t>.</w:t>
            </w:r>
          </w:p>
        </w:tc>
      </w:tr>
    </w:tbl>
    <w:p w14:paraId="58B99C8A" w14:textId="68A48E9F" w:rsidR="007200D4" w:rsidRDefault="001635CB" w:rsidP="00080AEA">
      <w:pPr>
        <w:pStyle w:val="B1"/>
        <w:rPr>
          <w:lang w:val="en-GB" w:eastAsia="ko-KR"/>
        </w:rPr>
      </w:pPr>
      <w:r>
        <w:rPr>
          <w:lang w:val="en-GB" w:eastAsia="ko-KR"/>
        </w:rPr>
        <w:t xml:space="preserve">The DFT-s-OFDM based waveform has more limitations than the CP-OFDM based waveform, </w:t>
      </w:r>
      <w:r w:rsidR="007200D4">
        <w:rPr>
          <w:lang w:val="en-GB" w:eastAsia="ko-KR"/>
        </w:rPr>
        <w:t xml:space="preserve">i.e., DFT-s-OFDM allows only frequency resource allocation type 0 and DM-RS configuration type 2. The discussion is about whether the scheduling UL-DCI </w:t>
      </w:r>
      <w:r w:rsidR="002E4A3B">
        <w:rPr>
          <w:lang w:val="en-GB" w:eastAsia="ko-KR"/>
        </w:rPr>
        <w:t>guarantee full flexibility of CP-OFDM based PUSCH transmissions.</w:t>
      </w:r>
    </w:p>
    <w:p w14:paraId="41AF3DD9" w14:textId="77777777" w:rsidR="00D14167" w:rsidRDefault="001635CB" w:rsidP="00080AEA">
      <w:pPr>
        <w:pStyle w:val="B1"/>
        <w:rPr>
          <w:lang w:val="en-GB" w:eastAsia="ko-KR"/>
        </w:rPr>
      </w:pPr>
      <w:r>
        <w:rPr>
          <w:lang w:val="en-GB" w:eastAsia="ko-KR"/>
        </w:rPr>
        <w:t xml:space="preserve">We had two agreements in the previous meeting and they are </w:t>
      </w:r>
      <w:r w:rsidR="00AE09F0">
        <w:rPr>
          <w:lang w:val="en-GB" w:eastAsia="ko-KR"/>
        </w:rPr>
        <w:t xml:space="preserve">option 1 and option 2. The option 1 </w:t>
      </w:r>
      <w:r w:rsidR="00421EAA">
        <w:rPr>
          <w:lang w:val="en-GB" w:eastAsia="ko-KR"/>
        </w:rPr>
        <w:t>treats it as an error case and the serving cell should handle this</w:t>
      </w:r>
      <w:r w:rsidR="002E4A3B">
        <w:rPr>
          <w:lang w:val="en-GB" w:eastAsia="ko-KR"/>
        </w:rPr>
        <w:t xml:space="preserve"> to limit some flexibility</w:t>
      </w:r>
      <w:r w:rsidR="00421EAA">
        <w:rPr>
          <w:lang w:val="en-GB" w:eastAsia="ko-KR"/>
        </w:rPr>
        <w:t>, and the option 2 allows the full flexibility.</w:t>
      </w:r>
      <w:r w:rsidR="002E4A3B">
        <w:rPr>
          <w:lang w:val="en-GB" w:eastAsia="ko-KR"/>
        </w:rPr>
        <w:t xml:space="preserve"> </w:t>
      </w:r>
    </w:p>
    <w:p w14:paraId="097DB92D" w14:textId="6E7EB170" w:rsidR="00421EAA" w:rsidRDefault="00421EAA" w:rsidP="00080AEA">
      <w:pPr>
        <w:pStyle w:val="B1"/>
        <w:rPr>
          <w:lang w:val="en-GB" w:eastAsia="ko-KR"/>
        </w:rPr>
      </w:pPr>
      <w:r>
        <w:rPr>
          <w:rFonts w:hint="eastAsia"/>
          <w:lang w:val="en-GB" w:eastAsia="ko-KR"/>
        </w:rPr>
        <w:t>I</w:t>
      </w:r>
      <w:r>
        <w:rPr>
          <w:lang w:val="en-GB" w:eastAsia="ko-KR"/>
        </w:rPr>
        <w:t xml:space="preserve">n our view, the full flexibility may not be beneficial because the UE operating DWS </w:t>
      </w:r>
      <w:r w:rsidR="002E4A3B">
        <w:rPr>
          <w:lang w:val="en-GB" w:eastAsia="ko-KR"/>
        </w:rPr>
        <w:t xml:space="preserve">may be located in the non-center </w:t>
      </w:r>
      <w:r w:rsidR="0007438F">
        <w:rPr>
          <w:lang w:val="en-GB" w:eastAsia="ko-KR"/>
        </w:rPr>
        <w:t xml:space="preserve">of </w:t>
      </w:r>
      <w:r w:rsidR="002E4A3B">
        <w:rPr>
          <w:lang w:val="en-GB" w:eastAsia="ko-KR"/>
        </w:rPr>
        <w:t xml:space="preserve">coveage area. </w:t>
      </w:r>
      <w:r w:rsidR="0007438F">
        <w:rPr>
          <w:lang w:val="en-GB" w:eastAsia="ko-KR"/>
        </w:rPr>
        <w:t xml:space="preserve">In our understanding, </w:t>
      </w:r>
      <w:r w:rsidR="004F408E">
        <w:rPr>
          <w:rFonts w:hint="eastAsia"/>
          <w:lang w:val="en-GB" w:eastAsia="ko-KR"/>
        </w:rPr>
        <w:t>t</w:t>
      </w:r>
      <w:r w:rsidR="004F408E">
        <w:rPr>
          <w:lang w:val="en-GB" w:eastAsia="ko-KR"/>
        </w:rPr>
        <w:t xml:space="preserve">he usage of DWS may be limited. For instance, UEs in the </w:t>
      </w:r>
      <w:r w:rsidR="004F408E">
        <w:rPr>
          <w:lang w:val="en-GB" w:eastAsia="ko-KR"/>
        </w:rPr>
        <w:lastRenderedPageBreak/>
        <w:t xml:space="preserve">center of coverage would operate CP-OFDM for MU-MIMO scheduling. UEs in the edge of coverage would operate repetitions of any waveform or operate DFT-s-OFDM for acquire power margin. </w:t>
      </w:r>
      <w:r w:rsidR="00F92C52">
        <w:rPr>
          <w:lang w:val="en-GB" w:eastAsia="ko-KR"/>
        </w:rPr>
        <w:t xml:space="preserve">In this </w:t>
      </w:r>
      <w:r w:rsidR="00D14167">
        <w:rPr>
          <w:lang w:val="en-GB" w:eastAsia="ko-KR"/>
        </w:rPr>
        <w:t>sense</w:t>
      </w:r>
      <w:r w:rsidR="00F92C52">
        <w:rPr>
          <w:lang w:val="en-GB" w:eastAsia="ko-KR"/>
        </w:rPr>
        <w:t>, t</w:t>
      </w:r>
      <w:r w:rsidR="004F408E">
        <w:rPr>
          <w:lang w:val="en-GB" w:eastAsia="ko-KR"/>
        </w:rPr>
        <w:t>he effective area</w:t>
      </w:r>
      <w:r w:rsidR="00932240">
        <w:rPr>
          <w:lang w:val="en-GB" w:eastAsia="ko-KR"/>
        </w:rPr>
        <w:t xml:space="preserve"> of coverage</w:t>
      </w:r>
      <w:r w:rsidR="004F408E">
        <w:rPr>
          <w:lang w:val="en-GB" w:eastAsia="ko-KR"/>
        </w:rPr>
        <w:t xml:space="preserve"> </w:t>
      </w:r>
      <w:r w:rsidR="00F92C52">
        <w:rPr>
          <w:lang w:val="en-GB" w:eastAsia="ko-KR"/>
        </w:rPr>
        <w:t xml:space="preserve">may not be </w:t>
      </w:r>
      <w:r w:rsidR="00D14167">
        <w:rPr>
          <w:lang w:val="en-GB" w:eastAsia="ko-KR"/>
        </w:rPr>
        <w:t>the fore-mentioned area and the UE can have low mobility otherwise the serving gNB would prepare handover anyway.</w:t>
      </w:r>
    </w:p>
    <w:p w14:paraId="06FBE592" w14:textId="38598D30" w:rsidR="002E4A3B" w:rsidRDefault="00D14167" w:rsidP="00080AEA">
      <w:pPr>
        <w:pStyle w:val="B1"/>
        <w:rPr>
          <w:lang w:val="en-GB" w:eastAsia="ko-KR"/>
        </w:rPr>
      </w:pPr>
      <w:r>
        <w:rPr>
          <w:rFonts w:hint="eastAsia"/>
          <w:lang w:val="en-GB" w:eastAsia="ko-KR"/>
        </w:rPr>
        <w:t>I</w:t>
      </w:r>
      <w:r>
        <w:rPr>
          <w:lang w:val="en-GB" w:eastAsia="ko-KR"/>
        </w:rPr>
        <w:t xml:space="preserve">n addition, we have to consider the payload of DCI. </w:t>
      </w:r>
      <w:r w:rsidR="002E4A3B">
        <w:rPr>
          <w:rFonts w:hint="eastAsia"/>
          <w:lang w:val="en-GB" w:eastAsia="ko-KR"/>
        </w:rPr>
        <w:t>T</w:t>
      </w:r>
      <w:r w:rsidR="002E4A3B">
        <w:rPr>
          <w:lang w:val="en-GB" w:eastAsia="ko-KR"/>
        </w:rPr>
        <w:t xml:space="preserve">he DWS is enabled by the explicit field in the scheduling DCI, and it may require DCI overhead if we allow full flexibility of CP-OFDM because per-field alignment is agreed. </w:t>
      </w:r>
      <w:r w:rsidR="00CF03F8">
        <w:rPr>
          <w:lang w:val="en-GB" w:eastAsia="ko-KR"/>
        </w:rPr>
        <w:t xml:space="preserve">The DCI overhead may not be larger than </w:t>
      </w:r>
      <w:r w:rsidR="00C305DD">
        <w:rPr>
          <w:lang w:val="en-GB" w:eastAsia="ko-KR"/>
        </w:rPr>
        <w:t>the legacy</w:t>
      </w:r>
      <w:r w:rsidR="00CF03F8">
        <w:rPr>
          <w:lang w:val="en-GB" w:eastAsia="ko-KR"/>
        </w:rPr>
        <w:t xml:space="preserve"> DCI</w:t>
      </w:r>
      <w:r w:rsidR="00C305DD">
        <w:rPr>
          <w:lang w:val="en-GB" w:eastAsia="ko-KR"/>
        </w:rPr>
        <w:t xml:space="preserve"> for CP-OFDM, however we can expect the coverage of DCI is similar.</w:t>
      </w:r>
    </w:p>
    <w:p w14:paraId="49CDC4C5" w14:textId="122CF5C4" w:rsidR="002E4A3B" w:rsidRDefault="00D14167" w:rsidP="00C305DD">
      <w:pPr>
        <w:pStyle w:val="B1"/>
        <w:rPr>
          <w:lang w:val="en-GB" w:eastAsia="ko-KR"/>
        </w:rPr>
      </w:pPr>
      <w:r>
        <w:rPr>
          <w:rFonts w:hint="eastAsia"/>
          <w:lang w:val="en-GB" w:eastAsia="ko-KR"/>
        </w:rPr>
        <w:t>T</w:t>
      </w:r>
      <w:r>
        <w:rPr>
          <w:lang w:val="en-GB" w:eastAsia="ko-KR"/>
        </w:rPr>
        <w:t xml:space="preserve">hus, we suggest that the DWS operation may enable/disable the DFT precoding and </w:t>
      </w:r>
      <w:r w:rsidR="00CF03F8">
        <w:rPr>
          <w:lang w:val="en-GB" w:eastAsia="ko-KR"/>
        </w:rPr>
        <w:t xml:space="preserve">all other flexibilities can be minimized. </w:t>
      </w:r>
      <w:r w:rsidR="00C305DD">
        <w:rPr>
          <w:lang w:val="en-GB" w:eastAsia="ko-KR"/>
        </w:rPr>
        <w:t xml:space="preserve">Option 1 above </w:t>
      </w:r>
      <w:r w:rsidR="006E6AAD">
        <w:rPr>
          <w:lang w:val="en-GB" w:eastAsia="ko-KR"/>
        </w:rPr>
        <w:t xml:space="preserve">for both FDRA and DM-RS seems to be a reasonable approach considering </w:t>
      </w:r>
      <w:r w:rsidR="00CE5A9F">
        <w:rPr>
          <w:lang w:val="en-GB" w:eastAsia="ko-KR"/>
        </w:rPr>
        <w:t>use case and DCI overhead and implementations.</w:t>
      </w:r>
    </w:p>
    <w:p w14:paraId="61DD1BEB" w14:textId="09AD2E6A" w:rsidR="00CE5A9F" w:rsidRPr="00EA0354" w:rsidRDefault="00EA0354" w:rsidP="00EA0354">
      <w:pPr>
        <w:pStyle w:val="B1"/>
        <w:rPr>
          <w:b/>
        </w:rPr>
      </w:pPr>
      <w:bookmarkStart w:id="11" w:name="_Ref134768369"/>
      <w:r w:rsidRPr="00EA0354">
        <w:rPr>
          <w:b/>
        </w:rPr>
        <w:t xml:space="preserve">Proposal </w:t>
      </w:r>
      <w:r w:rsidRPr="00EA0354">
        <w:rPr>
          <w:b/>
        </w:rPr>
        <w:fldChar w:fldCharType="begin"/>
      </w:r>
      <w:r w:rsidRPr="00EA0354">
        <w:rPr>
          <w:b/>
        </w:rPr>
        <w:instrText xml:space="preserve"> SEQ Proposal \* ARABIC </w:instrText>
      </w:r>
      <w:r w:rsidRPr="00EA0354">
        <w:rPr>
          <w:b/>
        </w:rPr>
        <w:fldChar w:fldCharType="separate"/>
      </w:r>
      <w:r w:rsidR="00604485">
        <w:rPr>
          <w:b/>
          <w:noProof/>
        </w:rPr>
        <w:t>1</w:t>
      </w:r>
      <w:r w:rsidRPr="00EA0354">
        <w:rPr>
          <w:b/>
        </w:rPr>
        <w:fldChar w:fldCharType="end"/>
      </w:r>
      <w:r w:rsidRPr="00EA0354">
        <w:rPr>
          <w:b/>
        </w:rPr>
        <w:t>: For both FDRA type and DM-RS type, configuration restriction with error case handling is supported.</w:t>
      </w:r>
      <w:bookmarkEnd w:id="11"/>
    </w:p>
    <w:p w14:paraId="660897DD" w14:textId="74687894" w:rsidR="00080AEA" w:rsidRPr="00FB5C58" w:rsidRDefault="00080AEA" w:rsidP="00080AEA">
      <w:pPr>
        <w:pStyle w:val="H2"/>
        <w:numPr>
          <w:ilvl w:val="2"/>
          <w:numId w:val="1"/>
        </w:numPr>
        <w:ind w:leftChars="0"/>
        <w:rPr>
          <w:rFonts w:eastAsia="SimSun"/>
          <w:lang w:eastAsia="zh-CN"/>
        </w:rPr>
      </w:pPr>
      <w:r w:rsidRPr="00810967">
        <w:t xml:space="preserve">Applicability to </w:t>
      </w:r>
      <w:r>
        <w:rPr>
          <w:rFonts w:hint="eastAsia"/>
        </w:rPr>
        <w:t>M</w:t>
      </w:r>
      <w:r>
        <w:t xml:space="preserve">sg3 </w:t>
      </w:r>
      <w:r w:rsidRPr="00810967">
        <w:t>PUSCH scheduled by DCI format 0_0</w:t>
      </w:r>
      <w:r>
        <w:t xml:space="preserve"> with TC-RNTI</w:t>
      </w:r>
    </w:p>
    <w:tbl>
      <w:tblPr>
        <w:tblStyle w:val="a6"/>
        <w:tblW w:w="0" w:type="auto"/>
        <w:tblInd w:w="113" w:type="dxa"/>
        <w:tblLook w:val="04A0" w:firstRow="1" w:lastRow="0" w:firstColumn="1" w:lastColumn="0" w:noHBand="0" w:noVBand="1"/>
      </w:tblPr>
      <w:tblGrid>
        <w:gridCol w:w="8903"/>
      </w:tblGrid>
      <w:tr w:rsidR="00080AEA" w14:paraId="655DC50F" w14:textId="77777777" w:rsidTr="00080AEA">
        <w:tc>
          <w:tcPr>
            <w:tcW w:w="9016" w:type="dxa"/>
          </w:tcPr>
          <w:p w14:paraId="21D55772" w14:textId="284881FD" w:rsidR="00080AEA" w:rsidRPr="00ED46E2" w:rsidRDefault="00080AEA" w:rsidP="00080AEA">
            <w:pPr>
              <w:rPr>
                <w:rFonts w:ascii="Times New Roman" w:eastAsia="DengXian" w:hAnsi="Times New Roman"/>
                <w:szCs w:val="20"/>
                <w:u w:val="single"/>
                <w:lang w:eastAsia="zh-CN"/>
              </w:rPr>
            </w:pPr>
            <w:r w:rsidRPr="00ED46E2">
              <w:rPr>
                <w:rFonts w:ascii="Times New Roman" w:eastAsia="DengXian" w:hAnsi="Times New Roman"/>
                <w:szCs w:val="20"/>
                <w:u w:val="single"/>
                <w:lang w:eastAsia="zh-CN"/>
              </w:rPr>
              <w:t>Conclusion</w:t>
            </w:r>
            <w:r w:rsidRPr="00080AEA">
              <w:rPr>
                <w:rFonts w:ascii="Times New Roman" w:eastAsia="DengXian" w:hAnsi="Times New Roman"/>
                <w:szCs w:val="20"/>
                <w:lang w:eastAsia="zh-CN"/>
              </w:rPr>
              <w:t xml:space="preserve"> </w:t>
            </w:r>
            <w:r>
              <w:rPr>
                <w:rFonts w:ascii="Times New Roman" w:eastAsia="DengXian" w:hAnsi="Times New Roman"/>
                <w:szCs w:val="20"/>
                <w:lang w:eastAsia="zh-CN"/>
              </w:rPr>
              <w:t xml:space="preserve">- </w:t>
            </w:r>
            <w:r w:rsidRPr="00080AEA">
              <w:rPr>
                <w:rFonts w:ascii="Times New Roman" w:eastAsia="DengXian" w:hAnsi="Times New Roman"/>
                <w:szCs w:val="20"/>
                <w:lang w:eastAsia="zh-CN"/>
              </w:rPr>
              <w:t>112bis</w:t>
            </w:r>
          </w:p>
          <w:p w14:paraId="3E2D27D4" w14:textId="07E8B273" w:rsidR="00080AEA" w:rsidRPr="00080AEA" w:rsidRDefault="00080AEA" w:rsidP="00080AEA">
            <w:r w:rsidRPr="00ED46E2">
              <w:rPr>
                <w:rFonts w:ascii="Times New Roman" w:hAnsi="Times New Roman"/>
                <w:szCs w:val="20"/>
              </w:rPr>
              <w:t xml:space="preserve">For PUSCH transmission scheduled by C-RNTI with DCI format 0_0, UE considers transform precoding enabled or disabled according to </w:t>
            </w:r>
            <w:r w:rsidRPr="00ED46E2">
              <w:rPr>
                <w:rFonts w:ascii="Times New Roman" w:hAnsi="Times New Roman"/>
                <w:i/>
                <w:iCs/>
                <w:szCs w:val="20"/>
              </w:rPr>
              <w:t>msg3-transformPrecoder</w:t>
            </w:r>
            <w:r w:rsidRPr="00ED46E2">
              <w:rPr>
                <w:rFonts w:ascii="Times New Roman" w:hAnsi="Times New Roman"/>
                <w:szCs w:val="20"/>
              </w:rPr>
              <w:t xml:space="preserve"> as in legacy.</w:t>
            </w:r>
          </w:p>
        </w:tc>
      </w:tr>
    </w:tbl>
    <w:p w14:paraId="16CCF912" w14:textId="5026AF0A" w:rsidR="007B69E8" w:rsidRDefault="007B69E8" w:rsidP="00810967">
      <w:pPr>
        <w:pStyle w:val="B1"/>
        <w:rPr>
          <w:lang w:eastAsia="ko-KR"/>
        </w:rPr>
      </w:pPr>
      <w:r>
        <w:rPr>
          <w:lang w:eastAsia="ko-KR"/>
        </w:rPr>
        <w:t>The DWS field in the fallback DCI format has been discussed and the issue was split with respect to RNTI. The previous meeting drew a conclusion for C-RNTI case. The remaining issue is to whether or not TC-RNTI supports DWS or not.</w:t>
      </w:r>
    </w:p>
    <w:p w14:paraId="319AEF36" w14:textId="739F2A44" w:rsidR="00220BC4" w:rsidRPr="00810967" w:rsidRDefault="00DB1E50" w:rsidP="00810967">
      <w:pPr>
        <w:pStyle w:val="B1"/>
        <w:rPr>
          <w:lang w:eastAsia="ko-KR"/>
        </w:rPr>
      </w:pPr>
      <w:r w:rsidRPr="00810967">
        <w:t xml:space="preserve">Some companies point out that the TC-RNTI based DWS can be adopted </w:t>
      </w:r>
      <w:r w:rsidR="007B69E8">
        <w:t>, but i</w:t>
      </w:r>
      <w:r w:rsidR="00B037FD" w:rsidRPr="00810967">
        <w:t xml:space="preserve">n our view, the retransmission of msg3 PUSCH is not quite urgent scenario because the repetition of msg3 PUSCH </w:t>
      </w:r>
      <w:r w:rsidR="00ED4D66" w:rsidRPr="00810967">
        <w:t>has been</w:t>
      </w:r>
      <w:r w:rsidR="00B037FD" w:rsidRPr="00810967">
        <w:t xml:space="preserve"> supported by both </w:t>
      </w:r>
      <w:r w:rsidR="009433FA" w:rsidRPr="00810967">
        <w:t xml:space="preserve">RAR UL grant and TC-RNTI based UL grant. </w:t>
      </w:r>
      <w:r w:rsidR="00220BC4">
        <w:rPr>
          <w:rFonts w:hint="eastAsia"/>
          <w:lang w:eastAsia="ko-KR"/>
        </w:rPr>
        <w:t>E</w:t>
      </w:r>
      <w:r w:rsidR="00220BC4">
        <w:rPr>
          <w:lang w:eastAsia="ko-KR"/>
        </w:rPr>
        <w:t>arly indication from preamble set partitioning would also be required to indicate whether Msg3 supports DWS or not.</w:t>
      </w:r>
    </w:p>
    <w:p w14:paraId="3F7E4C91" w14:textId="656A6153" w:rsidR="00DB1E50" w:rsidRPr="00810967" w:rsidRDefault="009433FA" w:rsidP="00810967">
      <w:pPr>
        <w:pStyle w:val="B1"/>
      </w:pPr>
      <w:r w:rsidRPr="00810967">
        <w:t xml:space="preserve">The </w:t>
      </w:r>
      <w:r w:rsidR="007B69E8">
        <w:t>T</w:t>
      </w:r>
      <w:r w:rsidRPr="00810967">
        <w:t xml:space="preserve">C-RNTI based format 0_0 </w:t>
      </w:r>
      <w:r w:rsidR="002C658B" w:rsidRPr="00810967">
        <w:t xml:space="preserve">should have the enhanced coverage, </w:t>
      </w:r>
      <w:r w:rsidR="003F119E" w:rsidRPr="00810967">
        <w:t>however</w:t>
      </w:r>
      <w:r w:rsidR="002C658B" w:rsidRPr="00810967">
        <w:t xml:space="preserve"> </w:t>
      </w:r>
      <w:r w:rsidR="00ED4D66" w:rsidRPr="00810967">
        <w:t xml:space="preserve">the PUSCH scheduled in the USS can </w:t>
      </w:r>
      <w:r w:rsidR="003F119E" w:rsidRPr="00810967">
        <w:t xml:space="preserve">also </w:t>
      </w:r>
      <w:r w:rsidR="00ED4D66" w:rsidRPr="00810967">
        <w:t xml:space="preserve">be repeated </w:t>
      </w:r>
      <w:r w:rsidR="003F119E" w:rsidRPr="00810967">
        <w:t>if appropriate TDRA is provided</w:t>
      </w:r>
      <w:r w:rsidR="00676181" w:rsidRPr="00810967">
        <w:t xml:space="preserve"> in </w:t>
      </w:r>
      <w:r w:rsidR="00676181" w:rsidRPr="00AB14C8">
        <w:rPr>
          <w:i/>
        </w:rPr>
        <w:t>pusch-Config</w:t>
      </w:r>
      <w:r w:rsidR="003F119E" w:rsidRPr="00810967">
        <w:t xml:space="preserve">. In our view, the </w:t>
      </w:r>
      <w:r w:rsidR="00676181" w:rsidRPr="00810967">
        <w:t>coverage of CORESET is equally important by not having the additi</w:t>
      </w:r>
      <w:r w:rsidR="00AB14C8">
        <w:rPr>
          <w:rFonts w:hint="eastAsia"/>
          <w:lang w:eastAsia="ko-KR"/>
        </w:rPr>
        <w:t>ona</w:t>
      </w:r>
      <w:r w:rsidR="00676181" w:rsidRPr="00810967">
        <w:t>l information field for DWS, and the DWS does not seem an essential feature in this release.</w:t>
      </w:r>
    </w:p>
    <w:p w14:paraId="6C1CBCE0" w14:textId="29EFA36D" w:rsidR="008818E0" w:rsidRPr="00EA0354" w:rsidRDefault="008818E0" w:rsidP="008818E0">
      <w:pPr>
        <w:pStyle w:val="B1"/>
        <w:rPr>
          <w:b/>
        </w:rPr>
      </w:pPr>
      <w:bookmarkStart w:id="12" w:name="_Ref134768373"/>
      <w:r w:rsidRPr="00EA0354">
        <w:rPr>
          <w:b/>
        </w:rPr>
        <w:t xml:space="preserve">Proposal </w:t>
      </w:r>
      <w:r w:rsidRPr="00EA0354">
        <w:rPr>
          <w:b/>
        </w:rPr>
        <w:fldChar w:fldCharType="begin"/>
      </w:r>
      <w:r w:rsidRPr="00EA0354">
        <w:rPr>
          <w:b/>
        </w:rPr>
        <w:instrText xml:space="preserve"> SEQ Proposal \* ARABIC </w:instrText>
      </w:r>
      <w:r w:rsidRPr="00EA0354">
        <w:rPr>
          <w:b/>
        </w:rPr>
        <w:fldChar w:fldCharType="separate"/>
      </w:r>
      <w:r w:rsidR="00604485">
        <w:rPr>
          <w:b/>
          <w:noProof/>
        </w:rPr>
        <w:t>2</w:t>
      </w:r>
      <w:r w:rsidRPr="00EA0354">
        <w:rPr>
          <w:b/>
        </w:rPr>
        <w:fldChar w:fldCharType="end"/>
      </w:r>
      <w:r w:rsidRPr="00EA0354">
        <w:rPr>
          <w:b/>
        </w:rPr>
        <w:t xml:space="preserve">: </w:t>
      </w:r>
      <w:r>
        <w:rPr>
          <w:b/>
        </w:rPr>
        <w:t>Deprioritize discussing TC-RNTI based DWS.</w:t>
      </w:r>
      <w:bookmarkEnd w:id="12"/>
    </w:p>
    <w:p w14:paraId="77C9EAE5" w14:textId="246E68D0" w:rsidR="00E14D60" w:rsidRPr="00FB5C58" w:rsidRDefault="00117FE7" w:rsidP="00E14D60">
      <w:pPr>
        <w:pStyle w:val="H2"/>
        <w:numPr>
          <w:ilvl w:val="2"/>
          <w:numId w:val="1"/>
        </w:numPr>
        <w:ind w:leftChars="0"/>
        <w:rPr>
          <w:rFonts w:eastAsia="SimSun"/>
          <w:lang w:eastAsia="zh-CN"/>
        </w:rPr>
      </w:pPr>
      <w:r>
        <w:t>Waveform</w:t>
      </w:r>
      <w:r w:rsidR="00E14D60">
        <w:t xml:space="preserve"> </w:t>
      </w:r>
      <w:r>
        <w:t>assumption</w:t>
      </w:r>
      <w:r w:rsidR="00E14D60">
        <w:t xml:space="preserve"> </w:t>
      </w:r>
      <w:r w:rsidR="0004227A">
        <w:t>without indication</w:t>
      </w:r>
      <w:r w:rsidR="00E14D60">
        <w:t xml:space="preserve"> in the DCI</w:t>
      </w:r>
    </w:p>
    <w:tbl>
      <w:tblPr>
        <w:tblStyle w:val="a6"/>
        <w:tblW w:w="0" w:type="auto"/>
        <w:tblInd w:w="113" w:type="dxa"/>
        <w:tblLook w:val="04A0" w:firstRow="1" w:lastRow="0" w:firstColumn="1" w:lastColumn="0" w:noHBand="0" w:noVBand="1"/>
      </w:tblPr>
      <w:tblGrid>
        <w:gridCol w:w="8903"/>
      </w:tblGrid>
      <w:tr w:rsidR="00D1157A" w14:paraId="17323739" w14:textId="77777777" w:rsidTr="008818E0">
        <w:trPr>
          <w:trHeight w:val="591"/>
        </w:trPr>
        <w:tc>
          <w:tcPr>
            <w:tcW w:w="8903" w:type="dxa"/>
          </w:tcPr>
          <w:p w14:paraId="2D339416" w14:textId="386D8B45" w:rsidR="00D1157A" w:rsidRPr="00643256" w:rsidRDefault="00D1157A" w:rsidP="00B37001">
            <w:pPr>
              <w:rPr>
                <w:highlight w:val="green"/>
                <w:shd w:val="clear" w:color="auto" w:fill="FF00FF"/>
                <w:lang w:eastAsia="zh-CN"/>
              </w:rPr>
            </w:pPr>
            <w:r w:rsidRPr="00B37001">
              <w:rPr>
                <w:highlight w:val="green"/>
              </w:rPr>
              <w:t>Agreement</w:t>
            </w:r>
            <w:r w:rsidR="00B37001" w:rsidRPr="00B37001">
              <w:t xml:space="preserve"> </w:t>
            </w:r>
            <w:r w:rsidR="00B37001" w:rsidRPr="00B37001">
              <w:rPr>
                <w:lang w:eastAsia="zh-CN"/>
              </w:rPr>
              <w:t>– 112b</w:t>
            </w:r>
          </w:p>
          <w:p w14:paraId="3EEFF90D" w14:textId="38407B36" w:rsidR="00D1157A" w:rsidRPr="00D1157A" w:rsidRDefault="00D1157A" w:rsidP="00D1157A">
            <w:pPr>
              <w:rPr>
                <w:sz w:val="24"/>
                <w:lang w:val="en-US" w:eastAsia="zh-CN"/>
              </w:rPr>
            </w:pPr>
            <w:r w:rsidRPr="00643256">
              <w:rPr>
                <w:lang w:eastAsia="zh-CN"/>
              </w:rPr>
              <w:t>Dynamic waveform switching is configured separately for each BWP, within </w:t>
            </w:r>
            <w:r w:rsidRPr="00643256">
              <w:rPr>
                <w:i/>
                <w:iCs/>
                <w:lang w:eastAsia="zh-CN"/>
              </w:rPr>
              <w:t>PUSCH-Config</w:t>
            </w:r>
            <w:r w:rsidRPr="00643256">
              <w:rPr>
                <w:lang w:eastAsia="zh-CN"/>
              </w:rPr>
              <w:t>.</w:t>
            </w:r>
          </w:p>
        </w:tc>
      </w:tr>
    </w:tbl>
    <w:p w14:paraId="718D5060" w14:textId="3EB7B662" w:rsidR="005D6CE0" w:rsidRPr="00810967" w:rsidRDefault="008818E0" w:rsidP="00810967">
      <w:pPr>
        <w:pStyle w:val="B1"/>
      </w:pPr>
      <w:r w:rsidRPr="008818E0">
        <w:rPr>
          <w:lang w:eastAsia="ko-KR"/>
        </w:rPr>
        <w:t xml:space="preserve">In the previous meeting, we </w:t>
      </w:r>
      <w:r w:rsidR="00E20389">
        <w:rPr>
          <w:lang w:eastAsia="ko-KR"/>
        </w:rPr>
        <w:t xml:space="preserve">agreed to have DWS per BWP. </w:t>
      </w:r>
      <w:r w:rsidR="00FB2F87" w:rsidRPr="00810967">
        <w:rPr>
          <w:rFonts w:hint="eastAsia"/>
        </w:rPr>
        <w:t>T</w:t>
      </w:r>
      <w:r w:rsidR="00FB2F87" w:rsidRPr="00810967">
        <w:t xml:space="preserve">his issue can be generalized to the case where BWP is switched. </w:t>
      </w:r>
      <w:r w:rsidR="005D6CE0" w:rsidRPr="00810967">
        <w:t xml:space="preserve">One approach is to introduce this field for all UL BWP which can schedule PUSCH. Thus, it removes the adaptation of payload due to this new information field. However, per-UE alignment may burden the DCI overhead. </w:t>
      </w:r>
      <w:r w:rsidR="00A01731">
        <w:t>S</w:t>
      </w:r>
      <w:r w:rsidR="005D6CE0" w:rsidRPr="00810967">
        <w:t>ome UL BWP may not support the dynamic waveform indication, and we think that some existing information field can be shorted during the BWP switch.</w:t>
      </w:r>
    </w:p>
    <w:p w14:paraId="20C7C2A9" w14:textId="51C81E70" w:rsidR="00D83DBB" w:rsidRPr="00810967" w:rsidRDefault="005D6CE0" w:rsidP="00810967">
      <w:pPr>
        <w:pStyle w:val="B1"/>
        <w:rPr>
          <w:b/>
        </w:rPr>
      </w:pPr>
      <w:bookmarkStart w:id="13" w:name="_Ref127348856"/>
      <w:r w:rsidRPr="00810967">
        <w:rPr>
          <w:b/>
        </w:rPr>
        <w:t xml:space="preserve">Observation </w:t>
      </w:r>
      <w:r w:rsidRPr="00810967">
        <w:rPr>
          <w:b/>
        </w:rPr>
        <w:fldChar w:fldCharType="begin"/>
      </w:r>
      <w:r w:rsidRPr="00810967">
        <w:rPr>
          <w:b/>
        </w:rPr>
        <w:instrText xml:space="preserve"> SEQ Observation \* ARABIC </w:instrText>
      </w:r>
      <w:r w:rsidRPr="00810967">
        <w:rPr>
          <w:b/>
        </w:rPr>
        <w:fldChar w:fldCharType="separate"/>
      </w:r>
      <w:r w:rsidR="00604485">
        <w:rPr>
          <w:b/>
          <w:noProof/>
        </w:rPr>
        <w:t>1</w:t>
      </w:r>
      <w:r w:rsidRPr="00810967">
        <w:rPr>
          <w:b/>
        </w:rPr>
        <w:fldChar w:fldCharType="end"/>
      </w:r>
      <w:r w:rsidRPr="00810967">
        <w:rPr>
          <w:b/>
        </w:rPr>
        <w:t>: Some UL BWP may not dynamically indicate the waveform.</w:t>
      </w:r>
      <w:bookmarkEnd w:id="13"/>
    </w:p>
    <w:p w14:paraId="10802E9D" w14:textId="03E11F8C" w:rsidR="00524AE1" w:rsidRPr="00810967" w:rsidRDefault="00FB2F87" w:rsidP="00810967">
      <w:pPr>
        <w:pStyle w:val="B1"/>
      </w:pPr>
      <w:r w:rsidRPr="00810967">
        <w:t xml:space="preserve">Each UL BWP may or may not support the new information field in the DCI format 0_1/0_2 since each </w:t>
      </w:r>
      <w:r w:rsidR="00D40F5C">
        <w:t>D</w:t>
      </w:r>
      <w:r w:rsidRPr="00810967">
        <w:t xml:space="preserve">L BWP has own PDCCH-config. Suppose that </w:t>
      </w:r>
      <w:r w:rsidR="00671F56" w:rsidRPr="00810967">
        <w:t>former</w:t>
      </w:r>
      <w:r w:rsidRPr="00810967">
        <w:t xml:space="preserve"> UL BWP does not support this field but it switches to </w:t>
      </w:r>
      <w:r w:rsidR="00671F56" w:rsidRPr="00810967">
        <w:t>latter</w:t>
      </w:r>
      <w:r w:rsidRPr="00810967">
        <w:t xml:space="preserve"> UL BWP which supports this field. The current specification tells some information field is </w:t>
      </w:r>
      <w:r w:rsidR="00671F56" w:rsidRPr="00810967">
        <w:t>shorted</w:t>
      </w:r>
      <w:r w:rsidRPr="00810967">
        <w:t xml:space="preserve"> </w:t>
      </w:r>
      <w:r w:rsidR="00671F56" w:rsidRPr="00810967">
        <w:t xml:space="preserve">by one bit </w:t>
      </w:r>
      <w:r w:rsidRPr="00810967">
        <w:t xml:space="preserve">and </w:t>
      </w:r>
      <w:r w:rsidR="00671F56" w:rsidRPr="00810967">
        <w:t xml:space="preserve">the saved bit is </w:t>
      </w:r>
      <w:r w:rsidRPr="00810967">
        <w:t xml:space="preserve">used for waveform indication. </w:t>
      </w:r>
      <w:r w:rsidR="00671F56" w:rsidRPr="00810967">
        <w:t>For instance, the MCS fieldwidth can be vary depending on BWP switching field</w:t>
      </w:r>
      <w:r w:rsidR="00E43D9D">
        <w:t>, recalling that Msg3 PUSCH repetitions already supports a similar feature.</w:t>
      </w:r>
    </w:p>
    <w:p w14:paraId="4222BF11" w14:textId="0B89A5C5" w:rsidR="00A01731" w:rsidRPr="00AA0F91" w:rsidRDefault="00E20389" w:rsidP="00A01731">
      <w:pPr>
        <w:pStyle w:val="B1"/>
      </w:pPr>
      <w:r w:rsidRPr="00E20389">
        <w:rPr>
          <w:lang w:eastAsia="ko-KR"/>
        </w:rPr>
        <w:t>Other approaches were proposed in the previous meeting, where target BWP has known waveform</w:t>
      </w:r>
      <w:r>
        <w:rPr>
          <w:lang w:eastAsia="ko-KR"/>
        </w:rPr>
        <w:t xml:space="preserve">, and the final feature lead summary </w:t>
      </w:r>
      <w:r w:rsidRPr="00AB14C8">
        <w:rPr>
          <w:color w:val="000000" w:themeColor="text1"/>
          <w:lang w:eastAsia="ko-KR"/>
        </w:rPr>
        <w:t>R1-230</w:t>
      </w:r>
      <w:r>
        <w:rPr>
          <w:color w:val="000000" w:themeColor="text1"/>
          <w:lang w:eastAsia="ko-KR"/>
        </w:rPr>
        <w:t>4</w:t>
      </w:r>
      <w:r w:rsidRPr="00AB14C8">
        <w:rPr>
          <w:color w:val="000000" w:themeColor="text1"/>
          <w:lang w:eastAsia="ko-KR"/>
        </w:rPr>
        <w:t>222</w:t>
      </w:r>
      <w:r>
        <w:rPr>
          <w:color w:val="000000" w:themeColor="text1"/>
          <w:lang w:eastAsia="ko-KR"/>
        </w:rPr>
        <w:t xml:space="preserve"> </w:t>
      </w:r>
      <w:r>
        <w:rPr>
          <w:lang w:eastAsia="ko-KR"/>
        </w:rPr>
        <w:t>nicely captures</w:t>
      </w:r>
      <w:r w:rsidRPr="00AA0F91">
        <w:rPr>
          <w:lang w:eastAsia="ko-KR"/>
        </w:rPr>
        <w:t xml:space="preserve">. </w:t>
      </w:r>
      <w:r w:rsidR="00A01731" w:rsidRPr="00AA0F91">
        <w:t>For easy reference, we states the following:</w:t>
      </w:r>
    </w:p>
    <w:p w14:paraId="4A08C365" w14:textId="77777777" w:rsidR="00A01731" w:rsidRPr="00AA0F91" w:rsidRDefault="00A01731" w:rsidP="00A01731">
      <w:pPr>
        <w:pStyle w:val="B1"/>
        <w:numPr>
          <w:ilvl w:val="0"/>
          <w:numId w:val="21"/>
        </w:numPr>
        <w:rPr>
          <w:lang w:eastAsia="ko-KR"/>
        </w:rPr>
      </w:pPr>
      <w:r w:rsidRPr="00AA0F91">
        <w:rPr>
          <w:lang w:eastAsia="ko-KR"/>
        </w:rPr>
        <w:lastRenderedPageBreak/>
        <w:t>Alt 1: Explicit indication for the target BWP</w:t>
      </w:r>
    </w:p>
    <w:p w14:paraId="4D3CD9D3" w14:textId="77777777" w:rsidR="00A01731" w:rsidRPr="00AA0F91" w:rsidRDefault="00A01731" w:rsidP="00A01731">
      <w:pPr>
        <w:pStyle w:val="B1"/>
        <w:numPr>
          <w:ilvl w:val="1"/>
          <w:numId w:val="21"/>
        </w:numPr>
        <w:rPr>
          <w:lang w:eastAsia="ko-KR"/>
        </w:rPr>
      </w:pPr>
      <w:r w:rsidRPr="00AA0F91">
        <w:rPr>
          <w:lang w:eastAsia="ko-KR"/>
        </w:rPr>
        <w:t>Some information field can be shorted for DWS purpose.</w:t>
      </w:r>
    </w:p>
    <w:p w14:paraId="327D4F37" w14:textId="77777777" w:rsidR="00A01731" w:rsidRPr="00AA0F91" w:rsidRDefault="00A01731" w:rsidP="00A01731">
      <w:pPr>
        <w:pStyle w:val="B1"/>
        <w:numPr>
          <w:ilvl w:val="0"/>
          <w:numId w:val="21"/>
        </w:numPr>
        <w:rPr>
          <w:lang w:eastAsia="ko-KR"/>
        </w:rPr>
      </w:pPr>
      <w:r w:rsidRPr="00AA0F91">
        <w:rPr>
          <w:lang w:eastAsia="ko-KR"/>
        </w:rPr>
        <w:t>Alt 2: Fixed indication for the target BWP</w:t>
      </w:r>
    </w:p>
    <w:p w14:paraId="0C54C979" w14:textId="77777777" w:rsidR="00A01731" w:rsidRPr="00AA0F91" w:rsidRDefault="00A01731" w:rsidP="00A01731">
      <w:pPr>
        <w:pStyle w:val="B1"/>
        <w:numPr>
          <w:ilvl w:val="1"/>
          <w:numId w:val="21"/>
        </w:numPr>
        <w:rPr>
          <w:lang w:eastAsia="ko-KR"/>
        </w:rPr>
      </w:pPr>
      <w:r w:rsidRPr="00AA0F91">
        <w:rPr>
          <w:lang w:eastAsia="ko-KR"/>
        </w:rPr>
        <w:t>Alt 2-1: RRC-configured waveform is applied.</w:t>
      </w:r>
    </w:p>
    <w:p w14:paraId="2BC1EE4A" w14:textId="77777777" w:rsidR="00A01731" w:rsidRPr="00AA0F91" w:rsidRDefault="00A01731" w:rsidP="00A01731">
      <w:pPr>
        <w:pStyle w:val="B1"/>
        <w:numPr>
          <w:ilvl w:val="1"/>
          <w:numId w:val="21"/>
        </w:numPr>
        <w:rPr>
          <w:lang w:eastAsia="ko-KR"/>
        </w:rPr>
      </w:pPr>
      <w:r w:rsidRPr="00AA0F91">
        <w:rPr>
          <w:lang w:eastAsia="ko-KR"/>
        </w:rPr>
        <w:t>Alt 2-2: Prepended bit is interpreted as DWS field.</w:t>
      </w:r>
    </w:p>
    <w:p w14:paraId="744E59AA" w14:textId="0C04BEF6" w:rsidR="0033629F" w:rsidRPr="00AA0F91" w:rsidRDefault="00A01731" w:rsidP="00A01731">
      <w:pPr>
        <w:pStyle w:val="B1"/>
        <w:rPr>
          <w:lang w:eastAsia="ko-KR"/>
        </w:rPr>
      </w:pPr>
      <w:r w:rsidRPr="00AA0F91">
        <w:rPr>
          <w:lang w:eastAsia="ko-KR"/>
        </w:rPr>
        <w:t xml:space="preserve">In our view, discussions throughput this work item assume the explicit indication of the target waveform. The Alt 1 follows the principle and </w:t>
      </w:r>
      <w:r w:rsidR="00E60824" w:rsidRPr="00AA0F91">
        <w:rPr>
          <w:lang w:eastAsia="ko-KR"/>
        </w:rPr>
        <w:t>does not increase</w:t>
      </w:r>
      <w:r w:rsidR="00184A6A" w:rsidRPr="00AA0F91">
        <w:rPr>
          <w:lang w:eastAsia="ko-KR"/>
        </w:rPr>
        <w:t xml:space="preserve"> the</w:t>
      </w:r>
      <w:r w:rsidR="00E60824" w:rsidRPr="00AA0F91">
        <w:rPr>
          <w:lang w:eastAsia="ko-KR"/>
        </w:rPr>
        <w:t xml:space="preserve"> </w:t>
      </w:r>
      <w:r w:rsidR="00184A6A" w:rsidRPr="00AA0F91">
        <w:rPr>
          <w:lang w:eastAsia="ko-KR"/>
        </w:rPr>
        <w:t xml:space="preserve">DCI size. </w:t>
      </w:r>
      <w:r w:rsidR="003136B2" w:rsidRPr="00AA0F91">
        <w:rPr>
          <w:lang w:eastAsia="ko-KR"/>
        </w:rPr>
        <w:t xml:space="preserve">Also, we think that </w:t>
      </w:r>
    </w:p>
    <w:p w14:paraId="66A8EEB0" w14:textId="6F9F76E7" w:rsidR="00A01731" w:rsidRDefault="00184A6A" w:rsidP="00A01731">
      <w:pPr>
        <w:pStyle w:val="B1"/>
        <w:rPr>
          <w:lang w:eastAsia="ko-KR"/>
        </w:rPr>
      </w:pPr>
      <w:r w:rsidRPr="00AA0F91">
        <w:rPr>
          <w:lang w:eastAsia="ko-KR"/>
        </w:rPr>
        <w:t xml:space="preserve">For Alt 2-1, the target waveform is not dynamically chosen but is </w:t>
      </w:r>
      <w:r w:rsidR="00FF5C97" w:rsidRPr="00AA0F91">
        <w:rPr>
          <w:lang w:eastAsia="ko-KR"/>
        </w:rPr>
        <w:t xml:space="preserve">rather </w:t>
      </w:r>
      <w:r w:rsidRPr="00AA0F91">
        <w:rPr>
          <w:lang w:eastAsia="ko-KR"/>
        </w:rPr>
        <w:t xml:space="preserve">fixed. </w:t>
      </w:r>
      <w:r w:rsidR="00FF5C97" w:rsidRPr="00AA0F91">
        <w:rPr>
          <w:lang w:eastAsia="ko-KR"/>
        </w:rPr>
        <w:t xml:space="preserve">The UE </w:t>
      </w:r>
      <w:r w:rsidR="00FF5C97" w:rsidRPr="00AA0F91">
        <w:t xml:space="preserve">can apply RRC-configured waveform of target BWP irrespective of dynamic switching indication in DCI. This argument is to omit DWS behavior </w:t>
      </w:r>
      <w:r w:rsidR="00295412" w:rsidRPr="00AA0F91">
        <w:t>during</w:t>
      </w:r>
      <w:r w:rsidR="00FF5C97" w:rsidRPr="00AA0F91">
        <w:t xml:space="preserve"> BWP switch. </w:t>
      </w:r>
      <w:r w:rsidRPr="00AA0F91">
        <w:rPr>
          <w:lang w:eastAsia="ko-KR"/>
        </w:rPr>
        <w:t xml:space="preserve">The waveform can be </w:t>
      </w:r>
      <w:r w:rsidR="00295412" w:rsidRPr="00AA0F91">
        <w:rPr>
          <w:lang w:eastAsia="ko-KR"/>
        </w:rPr>
        <w:t>re-</w:t>
      </w:r>
      <w:r w:rsidR="0033629F" w:rsidRPr="00AA0F91">
        <w:rPr>
          <w:lang w:eastAsia="ko-KR"/>
        </w:rPr>
        <w:t>indi</w:t>
      </w:r>
      <w:r w:rsidR="0033629F">
        <w:rPr>
          <w:lang w:eastAsia="ko-KR"/>
        </w:rPr>
        <w:t>cated</w:t>
      </w:r>
      <w:r>
        <w:rPr>
          <w:lang w:eastAsia="ko-KR"/>
        </w:rPr>
        <w:t xml:space="preserve"> after BWP is switched.</w:t>
      </w:r>
      <w:r w:rsidR="0033629F">
        <w:rPr>
          <w:lang w:eastAsia="ko-KR"/>
        </w:rPr>
        <w:t xml:space="preserve"> We note that the target waveform is associated to the target BWP. </w:t>
      </w:r>
      <w:r w:rsidR="00295412">
        <w:rPr>
          <w:lang w:eastAsia="ko-KR"/>
        </w:rPr>
        <w:t xml:space="preserve"> </w:t>
      </w:r>
      <w:r w:rsidR="0033629F">
        <w:rPr>
          <w:lang w:eastAsia="ko-KR"/>
        </w:rPr>
        <w:t xml:space="preserve"> </w:t>
      </w:r>
    </w:p>
    <w:p w14:paraId="48D5F27B" w14:textId="4AED9963" w:rsidR="0033629F" w:rsidRDefault="0033629F" w:rsidP="00A01731">
      <w:pPr>
        <w:pStyle w:val="B1"/>
        <w:rPr>
          <w:lang w:eastAsia="ko-KR"/>
        </w:rPr>
      </w:pPr>
      <w:r>
        <w:rPr>
          <w:rFonts w:hint="eastAsia"/>
          <w:lang w:eastAsia="ko-KR"/>
        </w:rPr>
        <w:t>F</w:t>
      </w:r>
      <w:r>
        <w:rPr>
          <w:lang w:eastAsia="ko-KR"/>
        </w:rPr>
        <w:t>or Alt 2-2, the target waveform is fixed but it can be different from the associated waveform of the target BWP. The ‘0’ value determines the target waveform and this can be configured.</w:t>
      </w:r>
      <w:r w:rsidR="003136B2">
        <w:rPr>
          <w:lang w:eastAsia="ko-KR"/>
        </w:rPr>
        <w:t xml:space="preserve"> In our view, the legacy prepend/appending behavior </w:t>
      </w:r>
      <w:r w:rsidR="00901382">
        <w:rPr>
          <w:lang w:eastAsia="ko-KR"/>
        </w:rPr>
        <w:t xml:space="preserve">for DCI interpretation during a BWP switch </w:t>
      </w:r>
      <w:r w:rsidR="003136B2">
        <w:rPr>
          <w:lang w:eastAsia="ko-KR"/>
        </w:rPr>
        <w:t>is to adjust fieldwidth of an information field which is present for both source BWP and target BWP. However, we are considering the case that a source BWP has no such field. In this perspective, the Alt 2-2 is less preferred.</w:t>
      </w:r>
    </w:p>
    <w:p w14:paraId="7933450B" w14:textId="3D20F6F2" w:rsidR="00A01731" w:rsidRDefault="003136B2" w:rsidP="00A01731">
      <w:pPr>
        <w:pStyle w:val="B1"/>
        <w:rPr>
          <w:lang w:eastAsia="ko-KR"/>
        </w:rPr>
      </w:pPr>
      <w:r>
        <w:rPr>
          <w:rFonts w:hint="eastAsia"/>
          <w:lang w:eastAsia="ko-KR"/>
        </w:rPr>
        <w:t>B</w:t>
      </w:r>
      <w:r>
        <w:rPr>
          <w:lang w:eastAsia="ko-KR"/>
        </w:rPr>
        <w:t>ased on above reasoning, we can discuss Alt 1 and Alt 2-1, and we prefer Alt 1 because it keeps the flexibility to explicitly and dynamically indicate the target waveform. We also mention that previous release Msg3 repetition reduces an existing field to extract additional information, and the similar approach can support DWS with less impact.</w:t>
      </w:r>
      <w:r w:rsidR="00D62393">
        <w:rPr>
          <w:lang w:eastAsia="ko-KR"/>
        </w:rPr>
        <w:t xml:space="preserve"> In addition, we can adopt the Alt 2-1 because it may follow a legacy behavior in some sense.</w:t>
      </w:r>
    </w:p>
    <w:p w14:paraId="0A57C25D" w14:textId="52FA1D0F" w:rsidR="00FF144E" w:rsidRDefault="003136B2" w:rsidP="003136B2">
      <w:pPr>
        <w:pStyle w:val="B1"/>
        <w:rPr>
          <w:b/>
        </w:rPr>
      </w:pPr>
      <w:bookmarkStart w:id="14" w:name="_Ref127348824"/>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604485">
        <w:rPr>
          <w:b/>
          <w:noProof/>
        </w:rPr>
        <w:t>3</w:t>
      </w:r>
      <w:r w:rsidRPr="00810967">
        <w:rPr>
          <w:b/>
        </w:rPr>
        <w:fldChar w:fldCharType="end"/>
      </w:r>
      <w:r w:rsidRPr="00810967">
        <w:rPr>
          <w:b/>
        </w:rPr>
        <w:t xml:space="preserve">: </w:t>
      </w:r>
      <w:r w:rsidR="00FF144E" w:rsidRPr="00FF144E">
        <w:rPr>
          <w:b/>
        </w:rPr>
        <w:t xml:space="preserve">During the BWP switch, </w:t>
      </w:r>
      <w:r w:rsidR="00D62393">
        <w:rPr>
          <w:b/>
        </w:rPr>
        <w:t>dicuss</w:t>
      </w:r>
      <w:r w:rsidR="00FF144E" w:rsidRPr="00FF144E">
        <w:rPr>
          <w:b/>
        </w:rPr>
        <w:t xml:space="preserve"> Alt 1 (reduce some field for DWS) </w:t>
      </w:r>
      <w:r w:rsidR="00604485">
        <w:rPr>
          <w:b/>
        </w:rPr>
        <w:t>or</w:t>
      </w:r>
      <w:bookmarkStart w:id="15" w:name="_GoBack"/>
      <w:bookmarkEnd w:id="15"/>
      <w:r w:rsidR="00FF144E" w:rsidRPr="00FF144E">
        <w:rPr>
          <w:b/>
        </w:rPr>
        <w:t xml:space="preserve"> Alt 2</w:t>
      </w:r>
      <w:r w:rsidR="00D62393">
        <w:rPr>
          <w:b/>
        </w:rPr>
        <w:t>-1 (</w:t>
      </w:r>
      <w:r w:rsidR="00604485">
        <w:rPr>
          <w:b/>
        </w:rPr>
        <w:t>RRC configured waveform)</w:t>
      </w:r>
      <w:r w:rsidR="00FF144E" w:rsidRPr="00FF144E">
        <w:rPr>
          <w:b/>
        </w:rPr>
        <w:t>.</w:t>
      </w:r>
    </w:p>
    <w:bookmarkEnd w:id="14"/>
    <w:p w14:paraId="38378538" w14:textId="51626769" w:rsidR="00227E67" w:rsidRPr="00227E67" w:rsidRDefault="00227E67" w:rsidP="00227E67">
      <w:pPr>
        <w:pStyle w:val="a5"/>
        <w:numPr>
          <w:ilvl w:val="2"/>
          <w:numId w:val="1"/>
        </w:numPr>
        <w:ind w:leftChars="0"/>
        <w:rPr>
          <w:rFonts w:ascii="Arial" w:hAnsi="Arial"/>
          <w:sz w:val="36"/>
          <w:szCs w:val="20"/>
          <w:lang w:eastAsia="ko-KR"/>
        </w:rPr>
      </w:pPr>
      <w:r w:rsidRPr="00227E67">
        <w:rPr>
          <w:rFonts w:ascii="Arial" w:hAnsi="Arial"/>
          <w:sz w:val="36"/>
          <w:szCs w:val="20"/>
          <w:lang w:eastAsia="ko-KR"/>
        </w:rPr>
        <w:t>Assistance information for switching waveform</w:t>
      </w:r>
    </w:p>
    <w:p w14:paraId="3AE2EF82" w14:textId="77777777" w:rsidR="00B13AA6" w:rsidRPr="00B13AA6" w:rsidRDefault="00B13AA6" w:rsidP="00810967">
      <w:pPr>
        <w:pStyle w:val="B1"/>
        <w:rPr>
          <w:sz w:val="2"/>
        </w:rPr>
      </w:pPr>
    </w:p>
    <w:tbl>
      <w:tblPr>
        <w:tblStyle w:val="a6"/>
        <w:tblW w:w="0" w:type="auto"/>
        <w:tblInd w:w="113" w:type="dxa"/>
        <w:tblLook w:val="04A0" w:firstRow="1" w:lastRow="0" w:firstColumn="1" w:lastColumn="0" w:noHBand="0" w:noVBand="1"/>
      </w:tblPr>
      <w:tblGrid>
        <w:gridCol w:w="8903"/>
      </w:tblGrid>
      <w:tr w:rsidR="00B13AA6" w14:paraId="2305295D" w14:textId="77777777" w:rsidTr="00B13AA6">
        <w:tc>
          <w:tcPr>
            <w:tcW w:w="9016" w:type="dxa"/>
          </w:tcPr>
          <w:p w14:paraId="26FF2756" w14:textId="77777777" w:rsidR="00B13AA6" w:rsidRPr="00ED46E2" w:rsidRDefault="00B13AA6" w:rsidP="00B13AA6">
            <w:pPr>
              <w:rPr>
                <w:rFonts w:ascii="Times New Roman" w:hAnsi="Times New Roman"/>
                <w:szCs w:val="20"/>
                <w:highlight w:val="green"/>
              </w:rPr>
            </w:pPr>
            <w:r w:rsidRPr="00ED46E2">
              <w:rPr>
                <w:rFonts w:ascii="Times New Roman" w:hAnsi="Times New Roman"/>
                <w:szCs w:val="20"/>
                <w:highlight w:val="green"/>
              </w:rPr>
              <w:t>Agreement</w:t>
            </w:r>
            <w:r>
              <w:rPr>
                <w:rFonts w:ascii="Times New Roman" w:hAnsi="Times New Roman"/>
                <w:szCs w:val="20"/>
              </w:rPr>
              <w:t xml:space="preserve"> - 112b</w:t>
            </w:r>
          </w:p>
          <w:p w14:paraId="2594DC05" w14:textId="77777777" w:rsidR="00B13AA6" w:rsidRPr="00ED46E2" w:rsidRDefault="00B13AA6" w:rsidP="00B13AA6">
            <w:pPr>
              <w:rPr>
                <w:rFonts w:ascii="Times New Roman" w:hAnsi="Times New Roman"/>
                <w:szCs w:val="20"/>
              </w:rPr>
            </w:pPr>
            <w:r w:rsidRPr="00ED46E2">
              <w:rPr>
                <w:rFonts w:ascii="Times New Roman" w:hAnsi="Times New Roman"/>
                <w:szCs w:val="20"/>
              </w:rPr>
              <w:t>For potential enhancements to assist the scheduler in determining waveform switching, RAN1 to select 1 from the following options:</w:t>
            </w:r>
            <w:r>
              <w:rPr>
                <w:rFonts w:ascii="Times New Roman" w:hAnsi="Times New Roman"/>
                <w:szCs w:val="20"/>
              </w:rPr>
              <w:t xml:space="preserve"> </w:t>
            </w:r>
          </w:p>
          <w:p w14:paraId="5AC9741F" w14:textId="77777777" w:rsidR="00B13AA6" w:rsidRPr="00ED46E2" w:rsidRDefault="00B13AA6" w:rsidP="00B13AA6">
            <w:pPr>
              <w:numPr>
                <w:ilvl w:val="0"/>
                <w:numId w:val="20"/>
              </w:numPr>
              <w:rPr>
                <w:rFonts w:ascii="Times New Roman" w:hAnsi="Times New Roman"/>
                <w:szCs w:val="20"/>
              </w:rPr>
            </w:pPr>
            <w:r w:rsidRPr="00ED46E2">
              <w:rPr>
                <w:rFonts w:ascii="Times New Roman" w:hAnsi="Times New Roman"/>
                <w:szCs w:val="20"/>
              </w:rPr>
              <w:t>Option 1: Reporting of power headroom information for a reference PUSCH using target waveform different from waveform of actual PUSCH.</w:t>
            </w:r>
          </w:p>
          <w:p w14:paraId="7D78ADF6"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szCs w:val="20"/>
              </w:rPr>
              <w:t>Details FFS.</w:t>
            </w:r>
          </w:p>
          <w:p w14:paraId="19B6BB5E"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color w:val="FF0000"/>
                <w:szCs w:val="20"/>
              </w:rPr>
              <w:t>Note: reporting PH information for both waveforms is not precluded.</w:t>
            </w:r>
          </w:p>
          <w:p w14:paraId="123EC883"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color w:val="FF0000"/>
                <w:szCs w:val="20"/>
              </w:rPr>
              <w:t>Note: additional trigger for PH for reference PUSCH is not precluded.</w:t>
            </w:r>
          </w:p>
          <w:p w14:paraId="0D9F0862" w14:textId="77777777" w:rsidR="00B13AA6" w:rsidRPr="00ED46E2" w:rsidRDefault="00B13AA6" w:rsidP="00B13AA6">
            <w:pPr>
              <w:numPr>
                <w:ilvl w:val="0"/>
                <w:numId w:val="20"/>
              </w:numPr>
              <w:rPr>
                <w:rFonts w:ascii="Times New Roman" w:hAnsi="Times New Roman"/>
                <w:szCs w:val="20"/>
              </w:rPr>
            </w:pPr>
            <w:r w:rsidRPr="00ED46E2">
              <w:rPr>
                <w:rFonts w:ascii="Times New Roman" w:hAnsi="Times New Roman"/>
                <w:szCs w:val="20"/>
              </w:rPr>
              <w:t>Option 2: New trigger of power headroom report based on waveform switching event.</w:t>
            </w:r>
          </w:p>
          <w:p w14:paraId="29115352"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szCs w:val="20"/>
              </w:rPr>
              <w:t>Details FFS.</w:t>
            </w:r>
          </w:p>
          <w:p w14:paraId="18B641B7" w14:textId="77777777" w:rsidR="00B13AA6" w:rsidRPr="00ED46E2" w:rsidRDefault="00B13AA6" w:rsidP="00B13AA6">
            <w:pPr>
              <w:numPr>
                <w:ilvl w:val="0"/>
                <w:numId w:val="20"/>
              </w:numPr>
              <w:rPr>
                <w:rFonts w:ascii="Times New Roman" w:hAnsi="Times New Roman"/>
                <w:szCs w:val="20"/>
              </w:rPr>
            </w:pPr>
            <w:r w:rsidRPr="00ED46E2">
              <w:rPr>
                <w:rFonts w:ascii="Times New Roman" w:hAnsi="Times New Roman"/>
                <w:szCs w:val="20"/>
              </w:rPr>
              <w:t>Option 3: Both Option 1 and Option 2.</w:t>
            </w:r>
          </w:p>
          <w:p w14:paraId="2303C38D"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szCs w:val="20"/>
              </w:rPr>
              <w:t>Details FFS.</w:t>
            </w:r>
          </w:p>
          <w:p w14:paraId="78F325FC" w14:textId="72217D48" w:rsidR="00B13AA6" w:rsidRPr="00B13AA6" w:rsidRDefault="00B13AA6" w:rsidP="00B13AA6">
            <w:pPr>
              <w:numPr>
                <w:ilvl w:val="0"/>
                <w:numId w:val="20"/>
              </w:numPr>
              <w:rPr>
                <w:rFonts w:ascii="Times New Roman" w:hAnsi="Times New Roman"/>
                <w:szCs w:val="20"/>
              </w:rPr>
            </w:pPr>
            <w:r w:rsidRPr="00ED46E2">
              <w:rPr>
                <w:rFonts w:ascii="Times New Roman" w:hAnsi="Times New Roman"/>
                <w:szCs w:val="20"/>
              </w:rPr>
              <w:t>Option 4: No enhancement.</w:t>
            </w:r>
          </w:p>
        </w:tc>
      </w:tr>
    </w:tbl>
    <w:p w14:paraId="39BF127B" w14:textId="1D8F0799" w:rsidR="00B13AA6" w:rsidRDefault="005D6CE0" w:rsidP="00810967">
      <w:pPr>
        <w:pStyle w:val="B1"/>
      </w:pPr>
      <w:r w:rsidRPr="00810967">
        <w:rPr>
          <w:rFonts w:hint="eastAsia"/>
        </w:rPr>
        <w:t>T</w:t>
      </w:r>
      <w:r w:rsidRPr="00810967">
        <w:t>he previous meeting</w:t>
      </w:r>
      <w:r w:rsidR="008138D7" w:rsidRPr="00810967">
        <w:t>s</w:t>
      </w:r>
      <w:r w:rsidRPr="00810967">
        <w:t xml:space="preserve"> </w:t>
      </w:r>
      <w:r w:rsidR="00AA0F91">
        <w:rPr>
          <w:rFonts w:hint="eastAsia"/>
          <w:lang w:eastAsia="ko-KR"/>
        </w:rPr>
        <w:t>l</w:t>
      </w:r>
      <w:r w:rsidR="00AA0F91">
        <w:rPr>
          <w:lang w:eastAsia="ko-KR"/>
        </w:rPr>
        <w:t>isted options</w:t>
      </w:r>
      <w:r w:rsidR="008138D7" w:rsidRPr="00810967">
        <w:t xml:space="preserve"> </w:t>
      </w:r>
      <w:r w:rsidRPr="00810967">
        <w:t>regarding headroom reports</w:t>
      </w:r>
      <w:r w:rsidR="00AB14C8">
        <w:rPr>
          <w:rFonts w:hint="eastAsia"/>
          <w:lang w:eastAsia="ko-KR"/>
        </w:rPr>
        <w:t>,</w:t>
      </w:r>
      <w:r w:rsidR="00AB14C8">
        <w:t xml:space="preserve"> </w:t>
      </w:r>
      <w:r w:rsidR="00AA0F91">
        <w:rPr>
          <w:lang w:eastAsia="ko-KR"/>
        </w:rPr>
        <w:t>and many companies seem to interest this issue because either/both pre-reporting and post-reporting would reduce latency.</w:t>
      </w:r>
    </w:p>
    <w:p w14:paraId="6AD0FCCC" w14:textId="3AA07BED" w:rsidR="005D6CE0" w:rsidRPr="00810967" w:rsidRDefault="005D6CE0" w:rsidP="00810967">
      <w:pPr>
        <w:pStyle w:val="B1"/>
      </w:pPr>
      <w:r w:rsidRPr="00810967">
        <w:t xml:space="preserve">The </w:t>
      </w:r>
      <w:r w:rsidR="00F74A2B" w:rsidRPr="00810967">
        <w:t>P</w:t>
      </w:r>
      <w:r w:rsidR="00F74A2B" w:rsidRPr="00177C7D">
        <w:rPr>
          <w:vertAlign w:val="subscript"/>
        </w:rPr>
        <w:t>CMAX,f,c</w:t>
      </w:r>
      <w:r w:rsidRPr="00810967">
        <w:t xml:space="preserve"> in PHR MAC CE is introduced </w:t>
      </w:r>
      <w:r w:rsidR="00B42EF6" w:rsidRPr="00810967">
        <w:t>since</w:t>
      </w:r>
      <w:r w:rsidRPr="00810967">
        <w:t xml:space="preserve"> the pathloss </w:t>
      </w:r>
      <w:r w:rsidR="008138D7" w:rsidRPr="00810967">
        <w:t>can be</w:t>
      </w:r>
      <w:r w:rsidRPr="00810967">
        <w:t xml:space="preserve"> </w:t>
      </w:r>
      <w:r w:rsidR="00B42EF6" w:rsidRPr="00810967">
        <w:t>outdated</w:t>
      </w:r>
      <w:r w:rsidRPr="00810967">
        <w:t xml:space="preserve"> at the scheduler and as a result the target SINR is not known</w:t>
      </w:r>
      <w:r w:rsidR="008138D7" w:rsidRPr="00810967">
        <w:t xml:space="preserve"> and appropriate TPC commands may not be derived.</w:t>
      </w:r>
      <w:r w:rsidRPr="00810967">
        <w:t xml:space="preserve"> As the current specification describes, </w:t>
      </w:r>
      <w:r w:rsidR="00B42EF6" w:rsidRPr="00810967">
        <w:t xml:space="preserve">the MPR-related offsets are already applied in the </w:t>
      </w:r>
      <w:r w:rsidR="00F74A2B" w:rsidRPr="00810967">
        <w:t>P</w:t>
      </w:r>
      <w:r w:rsidR="00F74A2B" w:rsidRPr="00177C7D">
        <w:rPr>
          <w:vertAlign w:val="subscript"/>
        </w:rPr>
        <w:t>CMAX,f,c</w:t>
      </w:r>
      <w:r w:rsidR="00B42EF6" w:rsidRPr="00810967">
        <w:t xml:space="preserve"> </w:t>
      </w:r>
      <w:r w:rsidR="0002029E" w:rsidRPr="00810967">
        <w:t>(</w:t>
      </w:r>
      <w:r w:rsidR="0002029E" w:rsidRPr="00810967">
        <w:rPr>
          <w:rFonts w:hint="eastAsia"/>
        </w:rPr>
        <w:t>o</w:t>
      </w:r>
      <w:r w:rsidR="0002029E" w:rsidRPr="00810967">
        <w:t xml:space="preserve">r </w:t>
      </w:r>
      <m:oMath>
        <m:acc>
          <m:accPr>
            <m:chr m:val="̃"/>
            <m:ctrlPr>
              <w:rPr>
                <w:rFonts w:ascii="Cambria Math" w:hAnsi="Cambria Math"/>
              </w:rPr>
            </m:ctrlPr>
          </m:accPr>
          <m:e>
            <m:r>
              <m:rPr>
                <m:sty m:val="p"/>
              </m:rPr>
              <w:rPr>
                <w:rFonts w:ascii="Cambria Math" w:hAnsi="Cambria Math"/>
              </w:rPr>
              <m:t>P</m:t>
            </m:r>
          </m:e>
        </m:acc>
      </m:oMath>
      <w:r w:rsidR="00F74A2B" w:rsidRPr="00F74A2B">
        <w:rPr>
          <w:vertAlign w:val="subscript"/>
        </w:rPr>
        <w:t>CMAX,f,c</w:t>
      </w:r>
      <w:r w:rsidR="0002029E" w:rsidRPr="00810967">
        <w:t xml:space="preserve">) </w:t>
      </w:r>
      <w:r w:rsidR="00661E61" w:rsidRPr="00810967">
        <w:t>and the scheduler can determine TPC commands with the included PH value.</w:t>
      </w:r>
    </w:p>
    <w:p w14:paraId="6F7CCD09" w14:textId="48B1EE7B" w:rsidR="00981ACB" w:rsidRPr="00810967" w:rsidRDefault="005D6CE0" w:rsidP="00810967">
      <w:pPr>
        <w:pStyle w:val="B1"/>
      </w:pPr>
      <w:r w:rsidRPr="00810967">
        <w:t>Since this work item does not have any RAN2 time unit, the detailed solution strives to</w:t>
      </w:r>
      <w:r w:rsidR="005D3798" w:rsidRPr="00810967">
        <w:t xml:space="preserve"> minimize RAN2 impacts.</w:t>
      </w:r>
      <w:r w:rsidR="00553029" w:rsidRPr="00810967">
        <w:t xml:space="preserve"> </w:t>
      </w:r>
      <w:r w:rsidR="0002029E" w:rsidRPr="00810967">
        <w:rPr>
          <w:rFonts w:hint="eastAsia"/>
        </w:rPr>
        <w:t>W</w:t>
      </w:r>
      <w:r w:rsidR="0002029E" w:rsidRPr="00810967">
        <w:t xml:space="preserve">e observe that PHR MAC CE does not involve the UL-DCI, thus </w:t>
      </w:r>
      <w:r w:rsidR="00981ACB" w:rsidRPr="00810967">
        <w:t>the applied</w:t>
      </w:r>
      <w:r w:rsidR="0002029E" w:rsidRPr="00810967">
        <w:t xml:space="preserve"> waveform </w:t>
      </w:r>
      <w:r w:rsidR="005E47C5" w:rsidRPr="00810967">
        <w:t xml:space="preserve">may not relevant to PHR MAC CE. </w:t>
      </w:r>
    </w:p>
    <w:p w14:paraId="5443C245" w14:textId="34A0D72D" w:rsidR="00FB269E" w:rsidRPr="00810967" w:rsidRDefault="00981ACB" w:rsidP="00810967">
      <w:pPr>
        <w:pStyle w:val="B1"/>
      </w:pPr>
      <w:r w:rsidRPr="00810967">
        <w:t>One way to introduce its dependency is to include PHs in both waveforms.</w:t>
      </w:r>
      <w:r w:rsidR="00027BBB" w:rsidRPr="00810967">
        <w:t xml:space="preserve"> Referring to the current specification, </w:t>
      </w:r>
      <w:r w:rsidR="00467004" w:rsidRPr="00810967">
        <w:t xml:space="preserve">the reference PH is calculated from </w:t>
      </w:r>
      <m:oMath>
        <m:acc>
          <m:accPr>
            <m:chr m:val="̃"/>
            <m:ctrlPr>
              <w:rPr>
                <w:rFonts w:ascii="Cambria Math" w:hAnsi="Cambria Math"/>
              </w:rPr>
            </m:ctrlPr>
          </m:accPr>
          <m:e>
            <m:r>
              <m:rPr>
                <m:sty m:val="p"/>
              </m:rPr>
              <w:rPr>
                <w:rFonts w:ascii="Cambria Math" w:hAnsi="Cambria Math"/>
              </w:rPr>
              <m:t>P</m:t>
            </m:r>
          </m:e>
        </m:acc>
      </m:oMath>
      <w:r w:rsidR="00467004" w:rsidRPr="00F74A2B">
        <w:rPr>
          <w:vertAlign w:val="subscript"/>
        </w:rPr>
        <w:t>CMAX,f,c</w:t>
      </w:r>
      <w:r w:rsidR="00467004" w:rsidRPr="00810967">
        <w:t xml:space="preserve">, whose MPR/A-/P-MPR=0, and the waveform dependency disappears. To solve this problem, we simply allow to report actual PHs which uses </w:t>
      </w:r>
      <w:r w:rsidR="00F74A2B" w:rsidRPr="00810967">
        <w:t>P</w:t>
      </w:r>
      <w:r w:rsidR="00F74A2B" w:rsidRPr="00177C7D">
        <w:rPr>
          <w:vertAlign w:val="subscript"/>
        </w:rPr>
        <w:t>CMAX,f,c</w:t>
      </w:r>
      <w:r w:rsidR="00467004" w:rsidRPr="00810967">
        <w:t>.</w:t>
      </w:r>
      <w:r w:rsidR="00E274A2" w:rsidRPr="00810967">
        <w:t xml:space="preserve"> Using two PHs are included and at least one PH is actual, the scheduler can deduce MPR related offsets, and at </w:t>
      </w:r>
      <w:r w:rsidR="00E274A2" w:rsidRPr="00810967">
        <w:lastRenderedPageBreak/>
        <w:t>last the impact of either waveform can be derived.</w:t>
      </w:r>
      <w:r w:rsidR="00B57463">
        <w:t xml:space="preserve"> </w:t>
      </w:r>
      <w:r w:rsidR="00EC7753">
        <w:rPr>
          <w:rFonts w:hint="eastAsia"/>
          <w:lang w:eastAsia="ko-KR"/>
        </w:rPr>
        <w:t>In</w:t>
      </w:r>
      <w:r w:rsidR="00EC7753">
        <w:rPr>
          <w:lang w:eastAsia="ko-KR"/>
        </w:rPr>
        <w:t xml:space="preserve"> </w:t>
      </w:r>
      <w:r w:rsidR="00EC7753">
        <w:rPr>
          <w:rFonts w:hint="eastAsia"/>
          <w:lang w:eastAsia="ko-KR"/>
        </w:rPr>
        <w:t>case</w:t>
      </w:r>
      <w:r w:rsidR="00EC7753">
        <w:rPr>
          <w:lang w:eastAsia="ko-KR"/>
        </w:rPr>
        <w:t xml:space="preserve"> </w:t>
      </w:r>
      <w:r w:rsidR="00EC7753">
        <w:rPr>
          <w:rFonts w:hint="eastAsia"/>
          <w:lang w:eastAsia="ko-KR"/>
        </w:rPr>
        <w:t>that</w:t>
      </w:r>
      <w:r w:rsidR="00FB269E">
        <w:rPr>
          <w:lang w:eastAsia="ko-KR"/>
        </w:rPr>
        <w:t xml:space="preserve"> </w:t>
      </w:r>
      <w:r w:rsidR="00FB269E">
        <w:rPr>
          <w:rFonts w:hint="eastAsia"/>
          <w:lang w:eastAsia="ko-KR"/>
        </w:rPr>
        <w:t>two</w:t>
      </w:r>
      <w:r w:rsidR="00FB269E">
        <w:t xml:space="preserve"> </w:t>
      </w:r>
      <w:r w:rsidR="00FB269E">
        <w:rPr>
          <w:rFonts w:hint="eastAsia"/>
          <w:lang w:eastAsia="ko-KR"/>
        </w:rPr>
        <w:t>PH</w:t>
      </w:r>
      <w:r w:rsidR="00FB269E">
        <w:t xml:space="preserve"> </w:t>
      </w:r>
      <w:r w:rsidR="00FB269E">
        <w:rPr>
          <w:rFonts w:hint="eastAsia"/>
          <w:lang w:eastAsia="ko-KR"/>
        </w:rPr>
        <w:t>are</w:t>
      </w:r>
      <w:r w:rsidR="00FB269E">
        <w:t xml:space="preserve"> </w:t>
      </w:r>
      <w:r w:rsidR="00FB269E">
        <w:rPr>
          <w:rFonts w:hint="eastAsia"/>
          <w:lang w:eastAsia="ko-KR"/>
        </w:rPr>
        <w:t>derived</w:t>
      </w:r>
      <w:r w:rsidR="00B57463">
        <w:t xml:space="preserve">, then two PHs are actual but with different waveform and </w:t>
      </w:r>
      <w:r w:rsidR="00EC7753">
        <w:rPr>
          <w:rFonts w:hint="eastAsia"/>
          <w:lang w:eastAsia="ko-KR"/>
        </w:rPr>
        <w:t>the</w:t>
      </w:r>
      <w:r w:rsidR="00EC7753">
        <w:t xml:space="preserve"> </w:t>
      </w:r>
      <w:r w:rsidR="00EC7753">
        <w:rPr>
          <w:rFonts w:hint="eastAsia"/>
          <w:lang w:eastAsia="ko-KR"/>
        </w:rPr>
        <w:t>same</w:t>
      </w:r>
      <w:r w:rsidR="00EC7753">
        <w:t xml:space="preserve"> </w:t>
      </w:r>
      <w:r w:rsidR="00EC7753">
        <w:rPr>
          <w:rFonts w:hint="eastAsia"/>
          <w:lang w:eastAsia="ko-KR"/>
        </w:rPr>
        <w:t>scheduling</w:t>
      </w:r>
      <w:r w:rsidR="00EC7753">
        <w:rPr>
          <w:lang w:eastAsia="ko-KR"/>
        </w:rPr>
        <w:t xml:space="preserve"> </w:t>
      </w:r>
      <w:r w:rsidR="00EC7753">
        <w:rPr>
          <w:rFonts w:hint="eastAsia"/>
          <w:lang w:eastAsia="ko-KR"/>
        </w:rPr>
        <w:t>assignment</w:t>
      </w:r>
      <w:r w:rsidR="00EC7753">
        <w:rPr>
          <w:lang w:eastAsia="ko-KR"/>
        </w:rPr>
        <w:t xml:space="preserve"> </w:t>
      </w:r>
      <w:r w:rsidR="00EC7753">
        <w:rPr>
          <w:rFonts w:hint="eastAsia"/>
          <w:lang w:eastAsia="ko-KR"/>
        </w:rPr>
        <w:t>can</w:t>
      </w:r>
      <w:r w:rsidR="00EC7753">
        <w:rPr>
          <w:lang w:eastAsia="ko-KR"/>
        </w:rPr>
        <w:t xml:space="preserve"> </w:t>
      </w:r>
      <w:r w:rsidR="00EC7753">
        <w:rPr>
          <w:rFonts w:hint="eastAsia"/>
          <w:lang w:eastAsia="ko-KR"/>
        </w:rPr>
        <w:t>be</w:t>
      </w:r>
      <w:r w:rsidR="00EC7753">
        <w:rPr>
          <w:lang w:eastAsia="ko-KR"/>
        </w:rPr>
        <w:t xml:space="preserve"> </w:t>
      </w:r>
      <w:r w:rsidR="00EC7753">
        <w:rPr>
          <w:rFonts w:hint="eastAsia"/>
          <w:lang w:eastAsia="ko-KR"/>
        </w:rPr>
        <w:t>assumed.</w:t>
      </w:r>
    </w:p>
    <w:p w14:paraId="2B256C3C" w14:textId="505B4A5C" w:rsidR="0073622F" w:rsidRPr="00810967" w:rsidRDefault="00E274A2" w:rsidP="00810967">
      <w:pPr>
        <w:pStyle w:val="B1"/>
      </w:pPr>
      <w:r w:rsidRPr="00810967">
        <w:rPr>
          <w:rFonts w:hint="eastAsia"/>
        </w:rPr>
        <w:t>I</w:t>
      </w:r>
      <w:r w:rsidRPr="00810967">
        <w:t xml:space="preserve">f we introduce additional PH in a single report, then the RAN2 should involve. In our understanding, we can maximally reuse the current specification. Recall that the Rel-17 PUSCH repetition supports two PHs in a single MAC CE. This is different from our assumption because each PH describes own pathloss with a common </w:t>
      </w:r>
      <w:r w:rsidR="00177C7D" w:rsidRPr="00810967">
        <w:t>P</w:t>
      </w:r>
      <w:r w:rsidR="00177C7D" w:rsidRPr="00177C7D">
        <w:rPr>
          <w:vertAlign w:val="subscript"/>
        </w:rPr>
        <w:t>CMAX,f,c</w:t>
      </w:r>
      <w:r w:rsidRPr="00810967">
        <w:t xml:space="preserve">. </w:t>
      </w:r>
      <w:r w:rsidR="00FF131B" w:rsidRPr="00810967">
        <w:t xml:space="preserve">However, we need two different </w:t>
      </w:r>
      <w:r w:rsidR="00177C7D" w:rsidRPr="00810967">
        <w:t>P</w:t>
      </w:r>
      <w:r w:rsidR="00177C7D" w:rsidRPr="00177C7D">
        <w:rPr>
          <w:vertAlign w:val="subscript"/>
        </w:rPr>
        <w:t>CMAX,f,c</w:t>
      </w:r>
      <w:r w:rsidR="00FF131B" w:rsidRPr="00810967">
        <w:t xml:space="preserve">. This can be relieved at least one PH is actual and we can subtract known terms to obtain MPR related offsets by using two PHs. </w:t>
      </w:r>
      <w:r w:rsidR="00250477" w:rsidRPr="00810967">
        <w:t xml:space="preserve">The </w:t>
      </w:r>
      <w:r w:rsidR="00177C7D" w:rsidRPr="00810967">
        <w:t>P</w:t>
      </w:r>
      <w:r w:rsidR="00177C7D" w:rsidRPr="00177C7D">
        <w:rPr>
          <w:vertAlign w:val="subscript"/>
        </w:rPr>
        <w:t>CMAX,f,c</w:t>
      </w:r>
      <w:r w:rsidR="00177C7D" w:rsidRPr="00810967">
        <w:t xml:space="preserve"> </w:t>
      </w:r>
      <w:r w:rsidR="00250477" w:rsidRPr="00810967">
        <w:t xml:space="preserve">may come from the waveform associated with the UL BWP. </w:t>
      </w:r>
    </w:p>
    <w:p w14:paraId="4B4AA38F" w14:textId="0FEC1DE6" w:rsidR="00250477" w:rsidRPr="00810967" w:rsidRDefault="00250477" w:rsidP="00810967">
      <w:pPr>
        <w:pStyle w:val="B1"/>
      </w:pPr>
      <w:r w:rsidRPr="00810967">
        <w:t>If the UL BWP is not scheduled, then the MAC CE can include two reference PHs which have a same value, or can have one actual PH and one reference PH.</w:t>
      </w:r>
      <w:r w:rsidR="0073622F" w:rsidRPr="00810967">
        <w:t xml:space="preserve"> In perspective of overhead reduction, one reference PH can be included in the MAC CE when the scheduling does not occur. Alternatively, we can consider generating actual PH without the scheduling in the UL BWP.</w:t>
      </w:r>
    </w:p>
    <w:p w14:paraId="575BB6DD" w14:textId="76A8F4D4" w:rsidR="00272600" w:rsidRDefault="000321B5" w:rsidP="00BA2002">
      <w:pPr>
        <w:pStyle w:val="B1"/>
        <w:rPr>
          <w:b/>
        </w:rPr>
      </w:pPr>
      <w:bookmarkStart w:id="16" w:name="_Ref127348832"/>
      <w:bookmarkStart w:id="17" w:name="_Ref131775653"/>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604485">
        <w:rPr>
          <w:b/>
          <w:noProof/>
        </w:rPr>
        <w:t>4</w:t>
      </w:r>
      <w:r w:rsidRPr="00810967">
        <w:rPr>
          <w:b/>
        </w:rPr>
        <w:fldChar w:fldCharType="end"/>
      </w:r>
      <w:r w:rsidRPr="00810967">
        <w:rPr>
          <w:b/>
        </w:rPr>
        <w:t>:</w:t>
      </w:r>
      <w:r w:rsidR="00FF131B" w:rsidRPr="00810967">
        <w:rPr>
          <w:b/>
        </w:rPr>
        <w:t xml:space="preserve"> </w:t>
      </w:r>
      <w:bookmarkEnd w:id="16"/>
      <w:r w:rsidR="005E150B">
        <w:rPr>
          <w:b/>
        </w:rPr>
        <w:t>At least scheduled UL BWP, two PHs can be included in one report, where at least one PH is actual.</w:t>
      </w:r>
      <w:bookmarkEnd w:id="17"/>
    </w:p>
    <w:bookmarkEnd w:id="10"/>
    <w:p w14:paraId="5C8D1234" w14:textId="7A26B602" w:rsidR="0089074E" w:rsidRDefault="000565F3" w:rsidP="00810967">
      <w:pPr>
        <w:pStyle w:val="1"/>
        <w:numPr>
          <w:ilvl w:val="0"/>
          <w:numId w:val="1"/>
        </w:numPr>
        <w:rPr>
          <w:lang w:eastAsia="ko-KR"/>
        </w:rPr>
      </w:pPr>
      <w:r>
        <w:rPr>
          <w:lang w:eastAsia="ko-KR"/>
        </w:rPr>
        <w:t>Conclusion</w:t>
      </w:r>
    </w:p>
    <w:p w14:paraId="5085BDF5" w14:textId="663EE7BB" w:rsidR="004D61C3" w:rsidRPr="00072C49" w:rsidRDefault="00CA4970" w:rsidP="00072C49">
      <w:pPr>
        <w:pStyle w:val="B1"/>
      </w:pPr>
      <w:r w:rsidRPr="00072C49">
        <w:t xml:space="preserve">We address our view </w:t>
      </w:r>
      <w:r w:rsidR="00D45F8F" w:rsidRPr="00072C49">
        <w:t xml:space="preserve">about supporting </w:t>
      </w:r>
      <w:r w:rsidR="00BC1C32" w:rsidRPr="00072C49">
        <w:rPr>
          <w:rFonts w:hint="eastAsia"/>
        </w:rPr>
        <w:t>dynamic</w:t>
      </w:r>
      <w:r w:rsidR="00BC1C32" w:rsidRPr="00072C49">
        <w:t xml:space="preserve"> </w:t>
      </w:r>
      <w:r w:rsidR="00BC1C32" w:rsidRPr="00072C49">
        <w:rPr>
          <w:rFonts w:hint="eastAsia"/>
        </w:rPr>
        <w:t>UL</w:t>
      </w:r>
      <w:r w:rsidR="00BC1C32" w:rsidRPr="00072C49">
        <w:t xml:space="preserve"> </w:t>
      </w:r>
      <w:r w:rsidR="00BC1C32" w:rsidRPr="00072C49">
        <w:rPr>
          <w:rFonts w:hint="eastAsia"/>
        </w:rPr>
        <w:t>waveform</w:t>
      </w:r>
      <w:r w:rsidR="00BC1C32" w:rsidRPr="00072C49">
        <w:t xml:space="preserve"> </w:t>
      </w:r>
      <w:r w:rsidR="00BC1C32" w:rsidRPr="00072C49">
        <w:rPr>
          <w:rFonts w:hint="eastAsia"/>
        </w:rPr>
        <w:t>changes</w:t>
      </w:r>
      <w:r w:rsidR="000A5E64" w:rsidRPr="00072C49">
        <w:t>.</w:t>
      </w:r>
    </w:p>
    <w:p w14:paraId="06EEB2BE" w14:textId="661237E4" w:rsidR="000F1BF0" w:rsidRDefault="000F1BF0" w:rsidP="00072C49">
      <w:pPr>
        <w:pStyle w:val="B1"/>
        <w:rPr>
          <w:b/>
        </w:rPr>
      </w:pPr>
      <w:r>
        <w:rPr>
          <w:b/>
        </w:rPr>
        <w:fldChar w:fldCharType="begin"/>
      </w:r>
      <w:r>
        <w:rPr>
          <w:b/>
        </w:rPr>
        <w:instrText xml:space="preserve"> REF _Ref134768369 \h </w:instrText>
      </w:r>
      <w:r>
        <w:rPr>
          <w:b/>
        </w:rPr>
      </w:r>
      <w:r>
        <w:rPr>
          <w:b/>
        </w:rPr>
        <w:fldChar w:fldCharType="separate"/>
      </w:r>
      <w:r w:rsidR="00604485" w:rsidRPr="00EA0354">
        <w:rPr>
          <w:b/>
        </w:rPr>
        <w:t xml:space="preserve">Proposal </w:t>
      </w:r>
      <w:r w:rsidR="00604485">
        <w:rPr>
          <w:b/>
          <w:noProof/>
        </w:rPr>
        <w:t>1</w:t>
      </w:r>
      <w:r w:rsidR="00604485" w:rsidRPr="00EA0354">
        <w:rPr>
          <w:b/>
        </w:rPr>
        <w:t>: For both FDRA type and DM-RS type, configuration restriction with error case handling is supported.</w:t>
      </w:r>
      <w:r>
        <w:rPr>
          <w:b/>
        </w:rPr>
        <w:fldChar w:fldCharType="end"/>
      </w:r>
    </w:p>
    <w:p w14:paraId="4CC37F75" w14:textId="3DEC0B58" w:rsidR="000F1BF0" w:rsidRDefault="000F1BF0" w:rsidP="00072C49">
      <w:pPr>
        <w:pStyle w:val="B1"/>
        <w:rPr>
          <w:b/>
        </w:rPr>
      </w:pPr>
      <w:r>
        <w:rPr>
          <w:b/>
        </w:rPr>
        <w:fldChar w:fldCharType="begin"/>
      </w:r>
      <w:r>
        <w:rPr>
          <w:b/>
        </w:rPr>
        <w:instrText xml:space="preserve"> REF _Ref134768373 \h </w:instrText>
      </w:r>
      <w:r>
        <w:rPr>
          <w:b/>
        </w:rPr>
      </w:r>
      <w:r>
        <w:rPr>
          <w:b/>
        </w:rPr>
        <w:fldChar w:fldCharType="separate"/>
      </w:r>
      <w:r w:rsidR="00604485" w:rsidRPr="00EA0354">
        <w:rPr>
          <w:b/>
        </w:rPr>
        <w:t xml:space="preserve">Proposal </w:t>
      </w:r>
      <w:r w:rsidR="00604485">
        <w:rPr>
          <w:b/>
          <w:noProof/>
        </w:rPr>
        <w:t>2</w:t>
      </w:r>
      <w:r w:rsidR="00604485" w:rsidRPr="00EA0354">
        <w:rPr>
          <w:b/>
        </w:rPr>
        <w:t xml:space="preserve">: </w:t>
      </w:r>
      <w:r w:rsidR="00604485">
        <w:rPr>
          <w:b/>
        </w:rPr>
        <w:t>Deprioritize discussing TC-RNTI based DWS.</w:t>
      </w:r>
      <w:r>
        <w:rPr>
          <w:b/>
        </w:rPr>
        <w:fldChar w:fldCharType="end"/>
      </w:r>
    </w:p>
    <w:p w14:paraId="5C4119F4" w14:textId="77777777" w:rsidR="00604485" w:rsidRDefault="00923074" w:rsidP="003136B2">
      <w:pPr>
        <w:pStyle w:val="B1"/>
        <w:rPr>
          <w:b/>
        </w:rPr>
      </w:pPr>
      <w:r w:rsidRPr="001B62A9">
        <w:rPr>
          <w:b/>
        </w:rPr>
        <w:fldChar w:fldCharType="begin"/>
      </w:r>
      <w:r w:rsidRPr="001B62A9">
        <w:rPr>
          <w:b/>
        </w:rPr>
        <w:instrText xml:space="preserve"> </w:instrText>
      </w:r>
      <w:r w:rsidRPr="001B62A9">
        <w:rPr>
          <w:rFonts w:hint="eastAsia"/>
          <w:b/>
        </w:rPr>
        <w:instrText>REF _Ref127348824 \h</w:instrText>
      </w:r>
      <w:r w:rsidRPr="001B62A9">
        <w:rPr>
          <w:b/>
        </w:rPr>
        <w:instrText xml:space="preserve"> </w:instrText>
      </w:r>
      <w:r w:rsidR="00072C49" w:rsidRPr="001B62A9">
        <w:rPr>
          <w:b/>
        </w:rPr>
        <w:instrText xml:space="preserve"> \* MERGEFORMAT </w:instrText>
      </w:r>
      <w:r w:rsidRPr="001B62A9">
        <w:rPr>
          <w:b/>
        </w:rPr>
      </w:r>
      <w:r w:rsidRPr="001B62A9">
        <w:rPr>
          <w:b/>
        </w:rPr>
        <w:fldChar w:fldCharType="separate"/>
      </w:r>
      <w:r w:rsidR="00604485" w:rsidRPr="00810967">
        <w:rPr>
          <w:b/>
        </w:rPr>
        <w:t xml:space="preserve">Proposal </w:t>
      </w:r>
      <w:r w:rsidR="00604485">
        <w:rPr>
          <w:b/>
        </w:rPr>
        <w:t>3</w:t>
      </w:r>
      <w:r w:rsidR="00604485" w:rsidRPr="00810967">
        <w:rPr>
          <w:b/>
        </w:rPr>
        <w:t xml:space="preserve">: </w:t>
      </w:r>
      <w:r w:rsidR="00604485" w:rsidRPr="00FF144E">
        <w:rPr>
          <w:b/>
        </w:rPr>
        <w:t xml:space="preserve">During the BWP switch, </w:t>
      </w:r>
      <w:r w:rsidR="00604485">
        <w:rPr>
          <w:b/>
        </w:rPr>
        <w:t>dicuss</w:t>
      </w:r>
      <w:r w:rsidR="00604485" w:rsidRPr="00FF144E">
        <w:rPr>
          <w:b/>
        </w:rPr>
        <w:t xml:space="preserve"> Alt 1 (reduce some field for DWS) to Alt 2</w:t>
      </w:r>
      <w:r w:rsidR="00604485">
        <w:rPr>
          <w:b/>
        </w:rPr>
        <w:t>-1 (RRC configured waveform)</w:t>
      </w:r>
      <w:r w:rsidR="00604485" w:rsidRPr="00FF144E">
        <w:rPr>
          <w:b/>
        </w:rPr>
        <w:t>.</w:t>
      </w:r>
    </w:p>
    <w:p w14:paraId="3CC7AB63" w14:textId="725CB08A" w:rsidR="00923074" w:rsidRPr="00FB269E" w:rsidRDefault="00923074" w:rsidP="00072C49">
      <w:pPr>
        <w:pStyle w:val="B1"/>
      </w:pPr>
      <w:r w:rsidRPr="001B62A9">
        <w:rPr>
          <w:b/>
        </w:rPr>
        <w:fldChar w:fldCharType="end"/>
      </w:r>
      <w:r w:rsidR="005E150B">
        <w:fldChar w:fldCharType="begin"/>
      </w:r>
      <w:r w:rsidR="005E150B">
        <w:instrText xml:space="preserve"> REF _Ref131775653 \h </w:instrText>
      </w:r>
      <w:r w:rsidR="005E150B">
        <w:fldChar w:fldCharType="separate"/>
      </w:r>
      <w:r w:rsidR="00604485" w:rsidRPr="00810967">
        <w:rPr>
          <w:b/>
        </w:rPr>
        <w:t xml:space="preserve">Proposal </w:t>
      </w:r>
      <w:r w:rsidR="00604485">
        <w:rPr>
          <w:b/>
          <w:noProof/>
        </w:rPr>
        <w:t>4</w:t>
      </w:r>
      <w:r w:rsidR="00604485" w:rsidRPr="00810967">
        <w:rPr>
          <w:b/>
        </w:rPr>
        <w:t xml:space="preserve">: </w:t>
      </w:r>
      <w:r w:rsidR="00604485">
        <w:rPr>
          <w:b/>
        </w:rPr>
        <w:t>At least scheduled UL BWP, two PHs can be included in one report, where at least one PH is actual.</w:t>
      </w:r>
      <w:r w:rsidR="005E150B">
        <w:fldChar w:fldCharType="end"/>
      </w:r>
    </w:p>
    <w:sectPr w:rsidR="00923074" w:rsidRPr="00FB269E"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42990" w14:textId="77777777" w:rsidR="00BA0642" w:rsidRDefault="00BA0642" w:rsidP="003E77F5">
      <w:r>
        <w:separator/>
      </w:r>
    </w:p>
  </w:endnote>
  <w:endnote w:type="continuationSeparator" w:id="0">
    <w:p w14:paraId="1A488957" w14:textId="77777777" w:rsidR="00BA0642" w:rsidRDefault="00BA0642" w:rsidP="003E77F5">
      <w:r>
        <w:continuationSeparator/>
      </w:r>
    </w:p>
  </w:endnote>
  <w:endnote w:type="continuationNotice" w:id="1">
    <w:p w14:paraId="30EB7F20" w14:textId="77777777" w:rsidR="00BA0642" w:rsidRDefault="00BA0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A356F" w:rsidRDefault="00FA356F">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A356F" w:rsidRDefault="00FA35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37749" w14:textId="77777777" w:rsidR="00BA0642" w:rsidRDefault="00BA0642" w:rsidP="003E77F5">
      <w:r>
        <w:separator/>
      </w:r>
    </w:p>
  </w:footnote>
  <w:footnote w:type="continuationSeparator" w:id="0">
    <w:p w14:paraId="122AE456" w14:textId="77777777" w:rsidR="00BA0642" w:rsidRDefault="00BA0642" w:rsidP="003E77F5">
      <w:r>
        <w:continuationSeparator/>
      </w:r>
    </w:p>
  </w:footnote>
  <w:footnote w:type="continuationNotice" w:id="1">
    <w:p w14:paraId="4CD80290" w14:textId="77777777" w:rsidR="00BA0642" w:rsidRDefault="00BA06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6ED68CA"/>
    <w:multiLevelType w:val="hybridMultilevel"/>
    <w:tmpl w:val="08D8A10C"/>
    <w:lvl w:ilvl="0" w:tplc="4202C932">
      <w:start w:val="1"/>
      <w:numFmt w:val="bullet"/>
      <w:lvlText w:val=""/>
      <w:lvlJc w:val="left"/>
      <w:pPr>
        <w:ind w:left="913" w:hanging="400"/>
      </w:pPr>
      <w:rPr>
        <w:rFonts w:ascii="Symbol" w:eastAsia="MS Mincho" w:hAnsi="Symbo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24A44"/>
    <w:multiLevelType w:val="hybridMultilevel"/>
    <w:tmpl w:val="987AE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15B"/>
    <w:multiLevelType w:val="hybridMultilevel"/>
    <w:tmpl w:val="FBF2F73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EF3D98"/>
    <w:multiLevelType w:val="hybridMultilevel"/>
    <w:tmpl w:val="C9B47ABC"/>
    <w:lvl w:ilvl="0" w:tplc="87D8DB40">
      <w:numFmt w:val="bullet"/>
      <w:lvlText w:val="-"/>
      <w:lvlJc w:val="left"/>
      <w:pPr>
        <w:ind w:left="1160" w:hanging="360"/>
      </w:pPr>
      <w:rPr>
        <w:rFonts w:ascii="Times New Roman" w:eastAsia="맑은 고딕" w:hAnsi="Times New Roman" w:cs="Times New Roman" w:hint="default"/>
      </w:rPr>
    </w:lvl>
    <w:lvl w:ilvl="1" w:tplc="95CC2506">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CA26B6"/>
    <w:multiLevelType w:val="hybridMultilevel"/>
    <w:tmpl w:val="7A3EFB4A"/>
    <w:lvl w:ilvl="0" w:tplc="80FCADF6">
      <w:start w:val="2"/>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8"/>
  </w:num>
  <w:num w:numId="4">
    <w:abstractNumId w:val="17"/>
  </w:num>
  <w:num w:numId="5">
    <w:abstractNumId w:val="20"/>
  </w:num>
  <w:num w:numId="6">
    <w:abstractNumId w:val="16"/>
  </w:num>
  <w:num w:numId="7">
    <w:abstractNumId w:val="15"/>
  </w:num>
  <w:num w:numId="8">
    <w:abstractNumId w:val="4"/>
  </w:num>
  <w:num w:numId="9">
    <w:abstractNumId w:val="18"/>
  </w:num>
  <w:num w:numId="10">
    <w:abstractNumId w:val="14"/>
  </w:num>
  <w:num w:numId="11">
    <w:abstractNumId w:val="5"/>
  </w:num>
  <w:num w:numId="12">
    <w:abstractNumId w:val="11"/>
  </w:num>
  <w:num w:numId="13">
    <w:abstractNumId w:val="0"/>
  </w:num>
  <w:num w:numId="14">
    <w:abstractNumId w:val="9"/>
  </w:num>
  <w:num w:numId="15">
    <w:abstractNumId w:val="7"/>
  </w:num>
  <w:num w:numId="16">
    <w:abstractNumId w:val="13"/>
  </w:num>
  <w:num w:numId="17">
    <w:abstractNumId w:val="1"/>
  </w:num>
  <w:num w:numId="18">
    <w:abstractNumId w:val="6"/>
  </w:num>
  <w:num w:numId="19">
    <w:abstractNumId w:val="19"/>
  </w:num>
  <w:num w:numId="20">
    <w:abstractNumId w:val="12"/>
  </w:num>
  <w:num w:numId="2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7A"/>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216"/>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C49"/>
    <w:rsid w:val="00072F50"/>
    <w:rsid w:val="00073E74"/>
    <w:rsid w:val="000741E5"/>
    <w:rsid w:val="0007438F"/>
    <w:rsid w:val="00074666"/>
    <w:rsid w:val="00074783"/>
    <w:rsid w:val="00074F93"/>
    <w:rsid w:val="0007609C"/>
    <w:rsid w:val="00077D0E"/>
    <w:rsid w:val="00077EB2"/>
    <w:rsid w:val="00080AEA"/>
    <w:rsid w:val="00080C61"/>
    <w:rsid w:val="00081350"/>
    <w:rsid w:val="00081474"/>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585"/>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1BF0"/>
    <w:rsid w:val="000F2A25"/>
    <w:rsid w:val="000F2D7B"/>
    <w:rsid w:val="000F328E"/>
    <w:rsid w:val="000F3758"/>
    <w:rsid w:val="000F47BA"/>
    <w:rsid w:val="000F52FB"/>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17FE7"/>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58B"/>
    <w:rsid w:val="00144EE5"/>
    <w:rsid w:val="001453F6"/>
    <w:rsid w:val="00146528"/>
    <w:rsid w:val="00146FD8"/>
    <w:rsid w:val="00147B16"/>
    <w:rsid w:val="001501B4"/>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5CB"/>
    <w:rsid w:val="001638F8"/>
    <w:rsid w:val="00163CC4"/>
    <w:rsid w:val="001657ED"/>
    <w:rsid w:val="00165C79"/>
    <w:rsid w:val="001667F8"/>
    <w:rsid w:val="00166928"/>
    <w:rsid w:val="00166E53"/>
    <w:rsid w:val="001705C2"/>
    <w:rsid w:val="00171BAA"/>
    <w:rsid w:val="00172545"/>
    <w:rsid w:val="0017285D"/>
    <w:rsid w:val="00173414"/>
    <w:rsid w:val="0017446D"/>
    <w:rsid w:val="001756EB"/>
    <w:rsid w:val="00176037"/>
    <w:rsid w:val="00176D7C"/>
    <w:rsid w:val="00177181"/>
    <w:rsid w:val="0017747E"/>
    <w:rsid w:val="001774E0"/>
    <w:rsid w:val="00177536"/>
    <w:rsid w:val="00177C7D"/>
    <w:rsid w:val="001808DF"/>
    <w:rsid w:val="00180B68"/>
    <w:rsid w:val="00181736"/>
    <w:rsid w:val="00182724"/>
    <w:rsid w:val="00182EB7"/>
    <w:rsid w:val="0018349C"/>
    <w:rsid w:val="00183EF3"/>
    <w:rsid w:val="00183F48"/>
    <w:rsid w:val="00184A6A"/>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5B72"/>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2A9"/>
    <w:rsid w:val="001B6308"/>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253F"/>
    <w:rsid w:val="00202A88"/>
    <w:rsid w:val="00204472"/>
    <w:rsid w:val="00204488"/>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BC4"/>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E67"/>
    <w:rsid w:val="00227F55"/>
    <w:rsid w:val="00231063"/>
    <w:rsid w:val="002314DE"/>
    <w:rsid w:val="00231804"/>
    <w:rsid w:val="00232396"/>
    <w:rsid w:val="00232702"/>
    <w:rsid w:val="0023279F"/>
    <w:rsid w:val="00232881"/>
    <w:rsid w:val="002328C6"/>
    <w:rsid w:val="00232B7B"/>
    <w:rsid w:val="00232FD8"/>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2600"/>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12"/>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58B"/>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4A3B"/>
    <w:rsid w:val="002E57C7"/>
    <w:rsid w:val="002E58F2"/>
    <w:rsid w:val="002E5C29"/>
    <w:rsid w:val="002E5C83"/>
    <w:rsid w:val="002E600B"/>
    <w:rsid w:val="002E61ED"/>
    <w:rsid w:val="002E6533"/>
    <w:rsid w:val="002E65E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6106"/>
    <w:rsid w:val="003065CE"/>
    <w:rsid w:val="00306710"/>
    <w:rsid w:val="00306872"/>
    <w:rsid w:val="00306E87"/>
    <w:rsid w:val="00306F52"/>
    <w:rsid w:val="00307385"/>
    <w:rsid w:val="00307A97"/>
    <w:rsid w:val="0031074A"/>
    <w:rsid w:val="003107AC"/>
    <w:rsid w:val="003108D5"/>
    <w:rsid w:val="00310B2F"/>
    <w:rsid w:val="00310EB5"/>
    <w:rsid w:val="00311021"/>
    <w:rsid w:val="00313560"/>
    <w:rsid w:val="003136B2"/>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29F"/>
    <w:rsid w:val="003368BF"/>
    <w:rsid w:val="00340ACD"/>
    <w:rsid w:val="00340D22"/>
    <w:rsid w:val="00341550"/>
    <w:rsid w:val="00341F02"/>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0DAE"/>
    <w:rsid w:val="00361A56"/>
    <w:rsid w:val="0036278F"/>
    <w:rsid w:val="003627EE"/>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4FF9"/>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3C77"/>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19E"/>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EC3"/>
    <w:rsid w:val="00416FAF"/>
    <w:rsid w:val="00417547"/>
    <w:rsid w:val="0042055B"/>
    <w:rsid w:val="0042095F"/>
    <w:rsid w:val="00421E85"/>
    <w:rsid w:val="00421EAA"/>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21F"/>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CAC"/>
    <w:rsid w:val="004704FF"/>
    <w:rsid w:val="0047053F"/>
    <w:rsid w:val="00470BD5"/>
    <w:rsid w:val="00470C80"/>
    <w:rsid w:val="00470EF2"/>
    <w:rsid w:val="004712AF"/>
    <w:rsid w:val="00471392"/>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2A6"/>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6EA4"/>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44D"/>
    <w:rsid w:val="004C6DE8"/>
    <w:rsid w:val="004C7110"/>
    <w:rsid w:val="004C7822"/>
    <w:rsid w:val="004C7DEC"/>
    <w:rsid w:val="004C7E9F"/>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6B9"/>
    <w:rsid w:val="004E6AB9"/>
    <w:rsid w:val="004E7C14"/>
    <w:rsid w:val="004F05F9"/>
    <w:rsid w:val="004F077D"/>
    <w:rsid w:val="004F0E96"/>
    <w:rsid w:val="004F1227"/>
    <w:rsid w:val="004F12BE"/>
    <w:rsid w:val="004F1DB5"/>
    <w:rsid w:val="004F22AC"/>
    <w:rsid w:val="004F2806"/>
    <w:rsid w:val="004F2E60"/>
    <w:rsid w:val="004F3772"/>
    <w:rsid w:val="004F3E44"/>
    <w:rsid w:val="004F408E"/>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EA"/>
    <w:rsid w:val="00517A89"/>
    <w:rsid w:val="0052021B"/>
    <w:rsid w:val="00520377"/>
    <w:rsid w:val="005205CD"/>
    <w:rsid w:val="0052069B"/>
    <w:rsid w:val="00520C84"/>
    <w:rsid w:val="0052172F"/>
    <w:rsid w:val="00521BB9"/>
    <w:rsid w:val="00521EB9"/>
    <w:rsid w:val="00522122"/>
    <w:rsid w:val="00523EFA"/>
    <w:rsid w:val="00523F8E"/>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5C2E"/>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0B"/>
    <w:rsid w:val="005E155B"/>
    <w:rsid w:val="005E30F2"/>
    <w:rsid w:val="005E321A"/>
    <w:rsid w:val="005E3843"/>
    <w:rsid w:val="005E3CAA"/>
    <w:rsid w:val="005E4640"/>
    <w:rsid w:val="005E47C5"/>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485"/>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4F0"/>
    <w:rsid w:val="00632A91"/>
    <w:rsid w:val="00632B7C"/>
    <w:rsid w:val="006334CD"/>
    <w:rsid w:val="006337B6"/>
    <w:rsid w:val="006352B9"/>
    <w:rsid w:val="006366B8"/>
    <w:rsid w:val="006366E8"/>
    <w:rsid w:val="00637C0B"/>
    <w:rsid w:val="00640681"/>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0C0"/>
    <w:rsid w:val="00656C0E"/>
    <w:rsid w:val="00657622"/>
    <w:rsid w:val="0065779A"/>
    <w:rsid w:val="0066030C"/>
    <w:rsid w:val="006609D6"/>
    <w:rsid w:val="00660B7F"/>
    <w:rsid w:val="00661E61"/>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81"/>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CBA"/>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48CC"/>
    <w:rsid w:val="006E4DD1"/>
    <w:rsid w:val="006E53CB"/>
    <w:rsid w:val="006E583A"/>
    <w:rsid w:val="006E5A56"/>
    <w:rsid w:val="006E6274"/>
    <w:rsid w:val="006E66D6"/>
    <w:rsid w:val="006E6AAD"/>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4FF"/>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0D4"/>
    <w:rsid w:val="0072088A"/>
    <w:rsid w:val="00720BF2"/>
    <w:rsid w:val="007215E9"/>
    <w:rsid w:val="007217B7"/>
    <w:rsid w:val="007222FE"/>
    <w:rsid w:val="0072284E"/>
    <w:rsid w:val="007231B5"/>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345A"/>
    <w:rsid w:val="00733BAF"/>
    <w:rsid w:val="0073419B"/>
    <w:rsid w:val="00734DF4"/>
    <w:rsid w:val="00735051"/>
    <w:rsid w:val="007352DB"/>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56"/>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C8D"/>
    <w:rsid w:val="00787DD3"/>
    <w:rsid w:val="00790CC6"/>
    <w:rsid w:val="00790D03"/>
    <w:rsid w:val="00791380"/>
    <w:rsid w:val="007913A6"/>
    <w:rsid w:val="007917EA"/>
    <w:rsid w:val="0079228E"/>
    <w:rsid w:val="0079229D"/>
    <w:rsid w:val="00792427"/>
    <w:rsid w:val="007926CC"/>
    <w:rsid w:val="007926EC"/>
    <w:rsid w:val="007935BC"/>
    <w:rsid w:val="007941FD"/>
    <w:rsid w:val="00795471"/>
    <w:rsid w:val="007957F3"/>
    <w:rsid w:val="007967AA"/>
    <w:rsid w:val="00797814"/>
    <w:rsid w:val="00797924"/>
    <w:rsid w:val="00797D1F"/>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A7396"/>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69E8"/>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67"/>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1B1D"/>
    <w:rsid w:val="00822211"/>
    <w:rsid w:val="00822E67"/>
    <w:rsid w:val="00822F11"/>
    <w:rsid w:val="00824277"/>
    <w:rsid w:val="00824C4F"/>
    <w:rsid w:val="00825028"/>
    <w:rsid w:val="00825031"/>
    <w:rsid w:val="008263D4"/>
    <w:rsid w:val="008269BD"/>
    <w:rsid w:val="008273BB"/>
    <w:rsid w:val="0083023C"/>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1265"/>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18E0"/>
    <w:rsid w:val="00882570"/>
    <w:rsid w:val="00882AD4"/>
    <w:rsid w:val="00882EF9"/>
    <w:rsid w:val="0088332E"/>
    <w:rsid w:val="00883CF4"/>
    <w:rsid w:val="00884C1A"/>
    <w:rsid w:val="00885219"/>
    <w:rsid w:val="0088534C"/>
    <w:rsid w:val="008859B4"/>
    <w:rsid w:val="00886000"/>
    <w:rsid w:val="0088606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BA9"/>
    <w:rsid w:val="008D55EC"/>
    <w:rsid w:val="008D688E"/>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382"/>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30A36"/>
    <w:rsid w:val="00930B3A"/>
    <w:rsid w:val="00930E0C"/>
    <w:rsid w:val="0093223B"/>
    <w:rsid w:val="00932240"/>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3FA"/>
    <w:rsid w:val="00943E37"/>
    <w:rsid w:val="0094410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BCA"/>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4325"/>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4C7"/>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6A0"/>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2391"/>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0EFF"/>
    <w:rsid w:val="009E1141"/>
    <w:rsid w:val="009E11E6"/>
    <w:rsid w:val="009E1AA4"/>
    <w:rsid w:val="009E1F7F"/>
    <w:rsid w:val="009E1FF5"/>
    <w:rsid w:val="009E2D62"/>
    <w:rsid w:val="009E2EA3"/>
    <w:rsid w:val="009E3BD2"/>
    <w:rsid w:val="009E5534"/>
    <w:rsid w:val="009E65A9"/>
    <w:rsid w:val="009E6E18"/>
    <w:rsid w:val="009E6F39"/>
    <w:rsid w:val="009E75C4"/>
    <w:rsid w:val="009F00B0"/>
    <w:rsid w:val="009F0C0E"/>
    <w:rsid w:val="009F1884"/>
    <w:rsid w:val="009F222D"/>
    <w:rsid w:val="009F3708"/>
    <w:rsid w:val="009F4C68"/>
    <w:rsid w:val="009F5620"/>
    <w:rsid w:val="009F5706"/>
    <w:rsid w:val="009F63D3"/>
    <w:rsid w:val="009F6570"/>
    <w:rsid w:val="009F73F1"/>
    <w:rsid w:val="009F759A"/>
    <w:rsid w:val="00A000FA"/>
    <w:rsid w:val="00A01731"/>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42B9"/>
    <w:rsid w:val="00A34330"/>
    <w:rsid w:val="00A3661D"/>
    <w:rsid w:val="00A368CC"/>
    <w:rsid w:val="00A370C9"/>
    <w:rsid w:val="00A40A36"/>
    <w:rsid w:val="00A432B7"/>
    <w:rsid w:val="00A43A09"/>
    <w:rsid w:val="00A43A9E"/>
    <w:rsid w:val="00A43BF4"/>
    <w:rsid w:val="00A444F2"/>
    <w:rsid w:val="00A458D1"/>
    <w:rsid w:val="00A4615D"/>
    <w:rsid w:val="00A46FDC"/>
    <w:rsid w:val="00A47657"/>
    <w:rsid w:val="00A47BBF"/>
    <w:rsid w:val="00A47F11"/>
    <w:rsid w:val="00A50314"/>
    <w:rsid w:val="00A5141A"/>
    <w:rsid w:val="00A518C2"/>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843"/>
    <w:rsid w:val="00A8397E"/>
    <w:rsid w:val="00A841FF"/>
    <w:rsid w:val="00A858CA"/>
    <w:rsid w:val="00A86064"/>
    <w:rsid w:val="00A86654"/>
    <w:rsid w:val="00A86812"/>
    <w:rsid w:val="00A8695D"/>
    <w:rsid w:val="00A86EAC"/>
    <w:rsid w:val="00A87852"/>
    <w:rsid w:val="00A904B8"/>
    <w:rsid w:val="00A90C3D"/>
    <w:rsid w:val="00A91F97"/>
    <w:rsid w:val="00A9213F"/>
    <w:rsid w:val="00A9225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0F91"/>
    <w:rsid w:val="00AA2824"/>
    <w:rsid w:val="00AA354E"/>
    <w:rsid w:val="00AA3CF5"/>
    <w:rsid w:val="00AA495A"/>
    <w:rsid w:val="00AA4A5E"/>
    <w:rsid w:val="00AA4A64"/>
    <w:rsid w:val="00AA5A64"/>
    <w:rsid w:val="00AA66C6"/>
    <w:rsid w:val="00AA66D1"/>
    <w:rsid w:val="00AA6787"/>
    <w:rsid w:val="00AA6791"/>
    <w:rsid w:val="00AA7F6B"/>
    <w:rsid w:val="00AB14C8"/>
    <w:rsid w:val="00AB1E73"/>
    <w:rsid w:val="00AB1ED8"/>
    <w:rsid w:val="00AB2BAB"/>
    <w:rsid w:val="00AB42E2"/>
    <w:rsid w:val="00AB5786"/>
    <w:rsid w:val="00AB58D0"/>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0F3"/>
    <w:rsid w:val="00AD043B"/>
    <w:rsid w:val="00AD0CFD"/>
    <w:rsid w:val="00AD1749"/>
    <w:rsid w:val="00AD1D6B"/>
    <w:rsid w:val="00AD1F69"/>
    <w:rsid w:val="00AD2766"/>
    <w:rsid w:val="00AD415E"/>
    <w:rsid w:val="00AD46CA"/>
    <w:rsid w:val="00AD49A0"/>
    <w:rsid w:val="00AD4F0F"/>
    <w:rsid w:val="00AD5AC6"/>
    <w:rsid w:val="00AD68C7"/>
    <w:rsid w:val="00AD747A"/>
    <w:rsid w:val="00AE09F0"/>
    <w:rsid w:val="00AE1660"/>
    <w:rsid w:val="00AE26FD"/>
    <w:rsid w:val="00AE276B"/>
    <w:rsid w:val="00AE279D"/>
    <w:rsid w:val="00AE3056"/>
    <w:rsid w:val="00AE33CF"/>
    <w:rsid w:val="00AE3AFE"/>
    <w:rsid w:val="00AE44F9"/>
    <w:rsid w:val="00AE4D10"/>
    <w:rsid w:val="00AE5663"/>
    <w:rsid w:val="00AE5DCC"/>
    <w:rsid w:val="00AE7668"/>
    <w:rsid w:val="00AE7B67"/>
    <w:rsid w:val="00AF08A7"/>
    <w:rsid w:val="00AF0C5D"/>
    <w:rsid w:val="00AF1237"/>
    <w:rsid w:val="00AF194A"/>
    <w:rsid w:val="00AF23D6"/>
    <w:rsid w:val="00AF276E"/>
    <w:rsid w:val="00AF2C81"/>
    <w:rsid w:val="00AF3575"/>
    <w:rsid w:val="00AF5466"/>
    <w:rsid w:val="00AF5860"/>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7F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AA6"/>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2922"/>
    <w:rsid w:val="00B32F54"/>
    <w:rsid w:val="00B33430"/>
    <w:rsid w:val="00B33AED"/>
    <w:rsid w:val="00B34A4F"/>
    <w:rsid w:val="00B351DB"/>
    <w:rsid w:val="00B36451"/>
    <w:rsid w:val="00B36570"/>
    <w:rsid w:val="00B36E25"/>
    <w:rsid w:val="00B37001"/>
    <w:rsid w:val="00B3753B"/>
    <w:rsid w:val="00B375B6"/>
    <w:rsid w:val="00B37D91"/>
    <w:rsid w:val="00B401E0"/>
    <w:rsid w:val="00B40228"/>
    <w:rsid w:val="00B40681"/>
    <w:rsid w:val="00B40D6A"/>
    <w:rsid w:val="00B41419"/>
    <w:rsid w:val="00B41963"/>
    <w:rsid w:val="00B41BCB"/>
    <w:rsid w:val="00B421BD"/>
    <w:rsid w:val="00B42EF6"/>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463"/>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52B"/>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8F2"/>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642"/>
    <w:rsid w:val="00BA08CA"/>
    <w:rsid w:val="00BA0B84"/>
    <w:rsid w:val="00BA1B23"/>
    <w:rsid w:val="00BA1BA1"/>
    <w:rsid w:val="00BA1FDE"/>
    <w:rsid w:val="00BA2002"/>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1C32"/>
    <w:rsid w:val="00BC2ACF"/>
    <w:rsid w:val="00BC3109"/>
    <w:rsid w:val="00BC31B6"/>
    <w:rsid w:val="00BC39E8"/>
    <w:rsid w:val="00BC3ACA"/>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5DD"/>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A47"/>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346"/>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4E58"/>
    <w:rsid w:val="00C9524F"/>
    <w:rsid w:val="00C95D4D"/>
    <w:rsid w:val="00C95DF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7AA"/>
    <w:rsid w:val="00CC2841"/>
    <w:rsid w:val="00CC32E5"/>
    <w:rsid w:val="00CC35DE"/>
    <w:rsid w:val="00CC3AFB"/>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A9F"/>
    <w:rsid w:val="00CE5B74"/>
    <w:rsid w:val="00CE65E4"/>
    <w:rsid w:val="00CE6EFF"/>
    <w:rsid w:val="00CE702F"/>
    <w:rsid w:val="00CE77E5"/>
    <w:rsid w:val="00CE7960"/>
    <w:rsid w:val="00CE7A75"/>
    <w:rsid w:val="00CE7B7C"/>
    <w:rsid w:val="00CE7B95"/>
    <w:rsid w:val="00CE7DD3"/>
    <w:rsid w:val="00CF0128"/>
    <w:rsid w:val="00CF0153"/>
    <w:rsid w:val="00CF03F8"/>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157A"/>
    <w:rsid w:val="00D12518"/>
    <w:rsid w:val="00D1262C"/>
    <w:rsid w:val="00D12CEB"/>
    <w:rsid w:val="00D12DB2"/>
    <w:rsid w:val="00D13940"/>
    <w:rsid w:val="00D14167"/>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1DB"/>
    <w:rsid w:val="00D4057E"/>
    <w:rsid w:val="00D40DCA"/>
    <w:rsid w:val="00D40F5C"/>
    <w:rsid w:val="00D427BC"/>
    <w:rsid w:val="00D42FF0"/>
    <w:rsid w:val="00D44EF6"/>
    <w:rsid w:val="00D453B4"/>
    <w:rsid w:val="00D45924"/>
    <w:rsid w:val="00D45F8F"/>
    <w:rsid w:val="00D46AD5"/>
    <w:rsid w:val="00D47611"/>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393"/>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87E93"/>
    <w:rsid w:val="00D90024"/>
    <w:rsid w:val="00D90BE0"/>
    <w:rsid w:val="00D90D23"/>
    <w:rsid w:val="00D910B2"/>
    <w:rsid w:val="00D912B2"/>
    <w:rsid w:val="00D9155A"/>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727"/>
    <w:rsid w:val="00DB1AE2"/>
    <w:rsid w:val="00DB1E50"/>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600"/>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25E"/>
    <w:rsid w:val="00E145D1"/>
    <w:rsid w:val="00E14D60"/>
    <w:rsid w:val="00E14DD5"/>
    <w:rsid w:val="00E15EFE"/>
    <w:rsid w:val="00E161A5"/>
    <w:rsid w:val="00E16CFB"/>
    <w:rsid w:val="00E17050"/>
    <w:rsid w:val="00E170B6"/>
    <w:rsid w:val="00E17124"/>
    <w:rsid w:val="00E17217"/>
    <w:rsid w:val="00E17B43"/>
    <w:rsid w:val="00E2008D"/>
    <w:rsid w:val="00E20389"/>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1F61"/>
    <w:rsid w:val="00E32AF6"/>
    <w:rsid w:val="00E32E77"/>
    <w:rsid w:val="00E335C5"/>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3D9D"/>
    <w:rsid w:val="00E44A22"/>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CAC"/>
    <w:rsid w:val="00E57D8A"/>
    <w:rsid w:val="00E60280"/>
    <w:rsid w:val="00E60824"/>
    <w:rsid w:val="00E60B54"/>
    <w:rsid w:val="00E60C91"/>
    <w:rsid w:val="00E61607"/>
    <w:rsid w:val="00E6171F"/>
    <w:rsid w:val="00E617F3"/>
    <w:rsid w:val="00E6326A"/>
    <w:rsid w:val="00E63615"/>
    <w:rsid w:val="00E63DC6"/>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7D2"/>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0354"/>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676B"/>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C7753"/>
    <w:rsid w:val="00ED0095"/>
    <w:rsid w:val="00ED0A52"/>
    <w:rsid w:val="00ED1EC2"/>
    <w:rsid w:val="00ED27AC"/>
    <w:rsid w:val="00ED29B6"/>
    <w:rsid w:val="00ED3CF7"/>
    <w:rsid w:val="00ED46AC"/>
    <w:rsid w:val="00ED476C"/>
    <w:rsid w:val="00ED4C75"/>
    <w:rsid w:val="00ED4D66"/>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550"/>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4A2B"/>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11"/>
    <w:rsid w:val="00F839CF"/>
    <w:rsid w:val="00F83B49"/>
    <w:rsid w:val="00F84814"/>
    <w:rsid w:val="00F8481C"/>
    <w:rsid w:val="00F84F64"/>
    <w:rsid w:val="00F85BE9"/>
    <w:rsid w:val="00F87EEB"/>
    <w:rsid w:val="00F90A47"/>
    <w:rsid w:val="00F910C0"/>
    <w:rsid w:val="00F9161B"/>
    <w:rsid w:val="00F91C83"/>
    <w:rsid w:val="00F923F2"/>
    <w:rsid w:val="00F92C5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56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69E"/>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260"/>
    <w:rsid w:val="00FE67A3"/>
    <w:rsid w:val="00FE7D32"/>
    <w:rsid w:val="00FE7D55"/>
    <w:rsid w:val="00FF025B"/>
    <w:rsid w:val="00FF08D4"/>
    <w:rsid w:val="00FF09FD"/>
    <w:rsid w:val="00FF101A"/>
    <w:rsid w:val="00FF105A"/>
    <w:rsid w:val="00FF10AE"/>
    <w:rsid w:val="00FF121D"/>
    <w:rsid w:val="00FF131B"/>
    <w:rsid w:val="00FF144E"/>
    <w:rsid w:val="00FF2777"/>
    <w:rsid w:val="00FF2FC4"/>
    <w:rsid w:val="00FF31B4"/>
    <w:rsid w:val="00FF3906"/>
    <w:rsid w:val="00FF3F1B"/>
    <w:rsid w:val="00FF41ED"/>
    <w:rsid w:val="00FF4E92"/>
    <w:rsid w:val="00FF5C97"/>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10967"/>
    <w:pPr>
      <w:spacing w:before="80" w:after="100"/>
      <w:ind w:left="113"/>
    </w:pPr>
    <w:rPr>
      <w:rFonts w:ascii="Times New Roman" w:eastAsia="맑은 고딕" w:hAnsi="Times New Roman"/>
      <w:szCs w:val="20"/>
      <w:lang w:val="x-none"/>
    </w:rPr>
  </w:style>
  <w:style w:type="character" w:customStyle="1" w:styleId="B1Zchn">
    <w:name w:val="B1 Zchn"/>
    <w:link w:val="B1"/>
    <w:qFormat/>
    <w:rsid w:val="00810967"/>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559358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6D8D51BD-936C-4533-8B32-9CB06930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1795</Words>
  <Characters>10233</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3</cp:revision>
  <cp:lastPrinted>2020-08-05T06:29:00Z</cp:lastPrinted>
  <dcterms:created xsi:type="dcterms:W3CDTF">2023-05-15T08:32:00Z</dcterms:created>
  <dcterms:modified xsi:type="dcterms:W3CDTF">2023-05-15T08:37:00Z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